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BAA7" w14:textId="77777777" w:rsidR="00EA7756" w:rsidRDefault="00000000">
      <w:pPr>
        <w:spacing w:after="0" w:line="240" w:lineRule="auto"/>
        <w:jc w:val="left"/>
        <w:rPr>
          <w:rFonts w:ascii="仿宋" w:eastAsia="仿宋" w:hAnsi="仿宋" w:cs="仿宋" w:hint="eastAsia"/>
          <w:b/>
          <w:iCs/>
          <w:color w:val="1F497D"/>
          <w:sz w:val="18"/>
          <w:szCs w:val="18"/>
        </w:rPr>
      </w:pPr>
      <w:r>
        <w:rPr>
          <w:rFonts w:ascii="仿宋" w:eastAsia="仿宋" w:hAnsi="仿宋" w:cs="仿宋" w:hint="eastAsia"/>
          <w:b/>
          <w:iCs/>
          <w:color w:val="1F497D"/>
          <w:sz w:val="18"/>
          <w:szCs w:val="18"/>
        </w:rPr>
        <w:t>本公司具备期货交易咨询业务资格，请务必阅读免责声明。</w:t>
      </w:r>
    </w:p>
    <w:p w14:paraId="1C7B94FA" w14:textId="77777777" w:rsidR="00EA7756" w:rsidRDefault="00000000">
      <w:pPr>
        <w:spacing w:after="0" w:line="240" w:lineRule="auto"/>
        <w:jc w:val="left"/>
        <w:rPr>
          <w:rFonts w:ascii="仿宋" w:eastAsia="仿宋" w:hAnsi="仿宋" w:cs="仿宋" w:hint="eastAsia"/>
          <w:b/>
          <w:iCs/>
          <w:color w:val="1F497D"/>
          <w:sz w:val="18"/>
          <w:szCs w:val="18"/>
        </w:rPr>
      </w:pPr>
      <w:r>
        <w:rPr>
          <w:rFonts w:ascii="仿宋" w:eastAsia="仿宋" w:hAnsi="仿宋" w:cs="仿宋" w:hint="eastAsia"/>
          <w:b/>
          <w:iCs/>
          <w:color w:val="1F497D"/>
          <w:sz w:val="18"/>
          <w:szCs w:val="18"/>
        </w:rPr>
        <w:t>分析师：王静，执业资格证号F0235424/Z0000771。</w:t>
      </w:r>
    </w:p>
    <w:p w14:paraId="4C0EFB7C" w14:textId="77777777" w:rsidR="00EA7756" w:rsidRDefault="00000000">
      <w:pPr>
        <w:spacing w:after="0" w:line="240" w:lineRule="auto"/>
        <w:ind w:firstLineChars="400" w:firstLine="723"/>
        <w:jc w:val="left"/>
        <w:rPr>
          <w:rFonts w:ascii="仿宋" w:eastAsia="仿宋" w:hAnsi="仿宋" w:cs="仿宋" w:hint="eastAsia"/>
          <w:b/>
          <w:iCs/>
          <w:color w:val="1F497D"/>
          <w:sz w:val="18"/>
          <w:szCs w:val="18"/>
        </w:rPr>
      </w:pPr>
      <w:proofErr w:type="gramStart"/>
      <w:r>
        <w:rPr>
          <w:rFonts w:ascii="仿宋" w:eastAsia="仿宋" w:hAnsi="仿宋" w:cs="仿宋" w:hint="eastAsia"/>
          <w:b/>
          <w:iCs/>
          <w:color w:val="1F497D"/>
          <w:sz w:val="18"/>
          <w:szCs w:val="18"/>
        </w:rPr>
        <w:t>苏妙达</w:t>
      </w:r>
      <w:proofErr w:type="gramEnd"/>
      <w:r>
        <w:rPr>
          <w:rFonts w:ascii="仿宋" w:eastAsia="仿宋" w:hAnsi="仿宋" w:cs="仿宋" w:hint="eastAsia"/>
          <w:b/>
          <w:iCs/>
          <w:color w:val="1F497D"/>
          <w:sz w:val="18"/>
          <w:szCs w:val="18"/>
        </w:rPr>
        <w:t>，执业资格证号F03104403/Z0018167。</w:t>
      </w:r>
    </w:p>
    <w:p w14:paraId="75D29484" w14:textId="77777777" w:rsidR="00EA7756" w:rsidRDefault="00000000">
      <w:pPr>
        <w:spacing w:after="0" w:line="240" w:lineRule="auto"/>
        <w:jc w:val="left"/>
        <w:rPr>
          <w:rFonts w:ascii="仿宋" w:eastAsia="仿宋" w:hAnsi="仿宋" w:cs="仿宋" w:hint="eastAsia"/>
          <w:b/>
          <w:iCs/>
          <w:color w:val="1F497D"/>
          <w:sz w:val="18"/>
          <w:szCs w:val="18"/>
        </w:rPr>
      </w:pPr>
      <w:r>
        <w:rPr>
          <w:rFonts w:ascii="仿宋" w:eastAsia="仿宋" w:hAnsi="仿宋" w:cs="仿宋" w:hint="eastAsia"/>
          <w:b/>
          <w:iCs/>
          <w:color w:val="1F497D"/>
          <w:sz w:val="18"/>
          <w:szCs w:val="18"/>
        </w:rPr>
        <w:t>免责声</w:t>
      </w:r>
      <w:r>
        <w:rPr>
          <w:rFonts w:ascii="仿宋" w:eastAsia="仿宋" w:hAnsi="仿宋" w:cs="仿宋" w:hint="eastAsia"/>
          <w:b/>
          <w:iCs/>
          <w:color w:val="17365D"/>
          <w:sz w:val="18"/>
          <w:szCs w:val="18"/>
        </w:rPr>
        <w:t>明</w:t>
      </w:r>
      <w:r>
        <w:rPr>
          <w:rFonts w:ascii="仿宋" w:eastAsia="仿宋" w:hAnsi="仿宋" w:cs="仿宋" w:hint="eastAsia"/>
          <w:b/>
          <w:iCs/>
          <w:color w:val="1F497D"/>
          <w:sz w:val="18"/>
          <w:szCs w:val="18"/>
        </w:rPr>
        <w:t>：</w:t>
      </w:r>
    </w:p>
    <w:p w14:paraId="2A988F4E" w14:textId="77777777" w:rsidR="00EA7756" w:rsidRDefault="00000000">
      <w:pPr>
        <w:spacing w:after="0" w:line="240" w:lineRule="auto"/>
        <w:jc w:val="left"/>
        <w:rPr>
          <w:rFonts w:ascii="仿宋" w:eastAsia="仿宋" w:hAnsi="仿宋" w:cs="仿宋" w:hint="eastAsia"/>
          <w:bCs/>
          <w:iCs/>
          <w:color w:val="1F497D"/>
          <w:sz w:val="18"/>
          <w:szCs w:val="18"/>
        </w:rPr>
      </w:pPr>
      <w:r>
        <w:rPr>
          <w:rFonts w:ascii="仿宋" w:eastAsia="仿宋" w:hAnsi="仿宋" w:cs="仿宋" w:hint="eastAsia"/>
          <w:iCs/>
          <w:color w:val="1F497D"/>
          <w:sz w:val="18"/>
          <w:szCs w:val="18"/>
        </w:rPr>
        <w:t>本报告中的信息均来源于公开资料，我公司对这些信息的准确性和完整性不作任何保证。报告中的内容和意见仅供参考，并不构成对所述品种买卖的出价</w:t>
      </w:r>
      <w:proofErr w:type="gramStart"/>
      <w:r>
        <w:rPr>
          <w:rFonts w:ascii="仿宋" w:eastAsia="仿宋" w:hAnsi="仿宋" w:cs="仿宋" w:hint="eastAsia"/>
          <w:iCs/>
          <w:color w:val="1F497D"/>
          <w:sz w:val="18"/>
          <w:szCs w:val="18"/>
        </w:rPr>
        <w:t>或征价</w:t>
      </w:r>
      <w:proofErr w:type="gramEnd"/>
      <w:r>
        <w:rPr>
          <w:rFonts w:ascii="仿宋" w:eastAsia="仿宋" w:hAnsi="仿宋" w:cs="仿宋" w:hint="eastAsia"/>
          <w:iCs/>
          <w:color w:val="1F497D"/>
          <w:sz w:val="18"/>
          <w:szCs w:val="18"/>
        </w:rPr>
        <w:t>。我公司及其雇员对使用本报告及其内容所引发的任何直接或间接损失概不负责。本报告仅向特定客户传送，版权</w:t>
      </w:r>
      <w:proofErr w:type="gramStart"/>
      <w:r>
        <w:rPr>
          <w:rFonts w:ascii="仿宋" w:eastAsia="仿宋" w:hAnsi="仿宋" w:cs="仿宋" w:hint="eastAsia"/>
          <w:iCs/>
          <w:color w:val="1F497D"/>
          <w:sz w:val="18"/>
          <w:szCs w:val="18"/>
        </w:rPr>
        <w:t>归冠通</w:t>
      </w:r>
      <w:proofErr w:type="gramEnd"/>
      <w:r>
        <w:rPr>
          <w:rFonts w:ascii="仿宋" w:eastAsia="仿宋" w:hAnsi="仿宋" w:cs="仿宋" w:hint="eastAsia"/>
          <w:iCs/>
          <w:color w:val="1F497D"/>
          <w:sz w:val="18"/>
          <w:szCs w:val="18"/>
        </w:rPr>
        <w:t>期货所有。未经我公司书面许可，任何机构和个人均不得以任何形式翻版，复制，引用或转载。如引用、转载、刊发，须注明出处</w:t>
      </w:r>
      <w:proofErr w:type="gramStart"/>
      <w:r>
        <w:rPr>
          <w:rFonts w:ascii="仿宋" w:eastAsia="仿宋" w:hAnsi="仿宋" w:cs="仿宋" w:hint="eastAsia"/>
          <w:iCs/>
          <w:color w:val="1F497D"/>
          <w:sz w:val="18"/>
          <w:szCs w:val="18"/>
        </w:rPr>
        <w:t>为冠通期货</w:t>
      </w:r>
      <w:proofErr w:type="gramEnd"/>
      <w:r>
        <w:rPr>
          <w:rFonts w:ascii="仿宋" w:eastAsia="仿宋" w:hAnsi="仿宋" w:cs="仿宋" w:hint="eastAsia"/>
          <w:iCs/>
          <w:color w:val="1F497D"/>
          <w:sz w:val="18"/>
          <w:szCs w:val="18"/>
        </w:rPr>
        <w:t>股份有限公司。</w:t>
      </w:r>
    </w:p>
    <w:p w14:paraId="39BE66D9" w14:textId="77777777" w:rsidR="00EA7756" w:rsidRDefault="00EA7756">
      <w:pPr>
        <w:pStyle w:val="ae"/>
        <w:tabs>
          <w:tab w:val="center" w:pos="4153"/>
        </w:tabs>
        <w:spacing w:after="120" w:line="360" w:lineRule="auto"/>
        <w:jc w:val="center"/>
        <w:rPr>
          <w:rFonts w:ascii="仿宋" w:eastAsia="仿宋" w:hAnsi="仿宋" w:hint="eastAsia"/>
          <w:b/>
          <w:color w:val="002060"/>
        </w:rPr>
      </w:pPr>
    </w:p>
    <w:p w14:paraId="587C5F8F" w14:textId="77777777" w:rsidR="00EA7756" w:rsidRDefault="00000000">
      <w:pPr>
        <w:pStyle w:val="ae"/>
        <w:tabs>
          <w:tab w:val="center" w:pos="4153"/>
        </w:tabs>
        <w:spacing w:after="120" w:line="360" w:lineRule="auto"/>
        <w:jc w:val="center"/>
        <w:rPr>
          <w:rFonts w:ascii="仿宋" w:eastAsia="仿宋" w:hAnsi="仿宋" w:hint="eastAsia"/>
          <w:i/>
          <w:smallCaps w:val="0"/>
          <w:sz w:val="24"/>
          <w:szCs w:val="24"/>
        </w:rPr>
      </w:pPr>
      <w:proofErr w:type="gramStart"/>
      <w:r>
        <w:rPr>
          <w:rFonts w:ascii="仿宋" w:eastAsia="仿宋" w:hAnsi="仿宋" w:hint="eastAsia"/>
          <w:b/>
          <w:color w:val="002060"/>
        </w:rPr>
        <w:t>冠通每日</w:t>
      </w:r>
      <w:proofErr w:type="gramEnd"/>
      <w:r>
        <w:rPr>
          <w:rFonts w:ascii="仿宋" w:eastAsia="仿宋" w:hAnsi="仿宋" w:hint="eastAsia"/>
          <w:b/>
          <w:color w:val="002060"/>
        </w:rPr>
        <w:t>交易策略</w:t>
      </w:r>
    </w:p>
    <w:p w14:paraId="366ACACA" w14:textId="576A7694" w:rsidR="00EA7756" w:rsidRDefault="00000000">
      <w:pPr>
        <w:pStyle w:val="ae"/>
        <w:spacing w:after="120" w:line="360" w:lineRule="auto"/>
        <w:rPr>
          <w:rFonts w:ascii="仿宋" w:eastAsia="仿宋" w:hAnsi="仿宋" w:cs="Calibri" w:hint="eastAsia"/>
          <w:b/>
          <w:sz w:val="22"/>
          <w:szCs w:val="24"/>
        </w:rPr>
      </w:pPr>
      <w:r>
        <w:rPr>
          <w:rFonts w:ascii="仿宋" w:eastAsia="仿宋" w:hAnsi="仿宋" w:cs="Calibri" w:hint="eastAsia"/>
          <w:b/>
          <w:sz w:val="22"/>
          <w:szCs w:val="24"/>
        </w:rPr>
        <w:t>制作日期：</w:t>
      </w:r>
      <w:r>
        <w:rPr>
          <w:rFonts w:ascii="仿宋" w:eastAsia="仿宋" w:hAnsi="仿宋" w:cs="Calibri"/>
          <w:b/>
          <w:sz w:val="22"/>
          <w:szCs w:val="24"/>
        </w:rPr>
        <w:t>202</w:t>
      </w:r>
      <w:r>
        <w:rPr>
          <w:rFonts w:ascii="仿宋" w:eastAsia="仿宋" w:hAnsi="仿宋" w:cs="Calibri" w:hint="eastAsia"/>
          <w:b/>
          <w:sz w:val="22"/>
          <w:szCs w:val="24"/>
        </w:rPr>
        <w:t>5</w:t>
      </w:r>
      <w:r>
        <w:rPr>
          <w:rFonts w:ascii="仿宋" w:eastAsia="仿宋" w:hAnsi="仿宋" w:cs="Calibri"/>
          <w:b/>
          <w:sz w:val="22"/>
          <w:szCs w:val="24"/>
        </w:rPr>
        <w:t>年</w:t>
      </w:r>
      <w:r w:rsidR="00663290">
        <w:rPr>
          <w:rFonts w:ascii="仿宋" w:eastAsia="仿宋" w:hAnsi="仿宋" w:cs="Calibri" w:hint="eastAsia"/>
          <w:b/>
          <w:sz w:val="22"/>
          <w:szCs w:val="24"/>
        </w:rPr>
        <w:t>0</w:t>
      </w:r>
      <w:r w:rsidR="006B7E09">
        <w:rPr>
          <w:rFonts w:ascii="仿宋" w:eastAsia="仿宋" w:hAnsi="仿宋" w:cs="Calibri" w:hint="eastAsia"/>
          <w:b/>
          <w:sz w:val="22"/>
          <w:szCs w:val="24"/>
        </w:rPr>
        <w:t>9</w:t>
      </w:r>
      <w:r>
        <w:rPr>
          <w:rFonts w:ascii="仿宋" w:eastAsia="仿宋" w:hAnsi="仿宋" w:cs="Calibri"/>
          <w:b/>
          <w:sz w:val="22"/>
          <w:szCs w:val="24"/>
        </w:rPr>
        <w:t>月</w:t>
      </w:r>
      <w:r w:rsidR="006B7E09">
        <w:rPr>
          <w:rFonts w:ascii="仿宋" w:eastAsia="仿宋" w:hAnsi="仿宋" w:cs="Calibri" w:hint="eastAsia"/>
          <w:b/>
          <w:sz w:val="22"/>
          <w:szCs w:val="24"/>
        </w:rPr>
        <w:t>0</w:t>
      </w:r>
      <w:r w:rsidR="00AB7043">
        <w:rPr>
          <w:rFonts w:ascii="仿宋" w:eastAsia="仿宋" w:hAnsi="仿宋" w:cs="Calibri" w:hint="eastAsia"/>
          <w:b/>
          <w:sz w:val="22"/>
          <w:szCs w:val="24"/>
        </w:rPr>
        <w:t>9</w:t>
      </w:r>
      <w:r>
        <w:rPr>
          <w:rFonts w:ascii="仿宋" w:eastAsia="仿宋" w:hAnsi="仿宋" w:cs="Calibri"/>
          <w:b/>
          <w:sz w:val="22"/>
          <w:szCs w:val="24"/>
        </w:rPr>
        <w:t>日</w:t>
      </w:r>
    </w:p>
    <w:p w14:paraId="39F2790E" w14:textId="77777777" w:rsidR="00EA7756" w:rsidRDefault="00000000">
      <w:pPr>
        <w:spacing w:after="120" w:line="360" w:lineRule="auto"/>
        <w:jc w:val="center"/>
        <w:rPr>
          <w:rFonts w:ascii="仿宋" w:eastAsia="仿宋" w:hAnsi="仿宋" w:cs="宋体" w:hint="eastAsia"/>
          <w:b/>
          <w:bCs/>
          <w:sz w:val="28"/>
          <w:szCs w:val="28"/>
        </w:rPr>
      </w:pPr>
      <w:r>
        <w:rPr>
          <w:rFonts w:ascii="仿宋" w:eastAsia="仿宋" w:hAnsi="仿宋" w:cs="宋体" w:hint="eastAsia"/>
          <w:b/>
          <w:bCs/>
          <w:sz w:val="28"/>
          <w:szCs w:val="28"/>
        </w:rPr>
        <w:t>热点品种</w:t>
      </w:r>
    </w:p>
    <w:p w14:paraId="261AE77A" w14:textId="0CAABB38" w:rsidR="00EA7756" w:rsidRDefault="00AB7043">
      <w:pPr>
        <w:spacing w:after="120" w:line="360" w:lineRule="auto"/>
        <w:jc w:val="left"/>
        <w:rPr>
          <w:rFonts w:ascii="仿宋" w:eastAsia="仿宋" w:hAnsi="仿宋" w:cs="宋体" w:hint="eastAsia"/>
          <w:sz w:val="24"/>
          <w:szCs w:val="24"/>
        </w:rPr>
      </w:pPr>
      <w:r>
        <w:rPr>
          <w:rFonts w:ascii="仿宋" w:eastAsia="仿宋" w:hAnsi="仿宋" w:cs="宋体" w:hint="eastAsia"/>
          <w:noProof/>
          <w:sz w:val="24"/>
          <w:szCs w:val="24"/>
        </w:rPr>
        <w:drawing>
          <wp:inline distT="0" distB="0" distL="0" distR="0" wp14:anchorId="3852859E" wp14:editId="54794D1C">
            <wp:extent cx="5877770" cy="2148559"/>
            <wp:effectExtent l="0" t="0" r="0" b="4445"/>
            <wp:docPr id="5819674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5701" cy="2162424"/>
                    </a:xfrm>
                    <a:prstGeom prst="rect">
                      <a:avLst/>
                    </a:prstGeom>
                    <a:noFill/>
                  </pic:spPr>
                </pic:pic>
              </a:graphicData>
            </a:graphic>
          </wp:inline>
        </w:drawing>
      </w:r>
    </w:p>
    <w:p w14:paraId="712F018B" w14:textId="77777777" w:rsidR="00EA7756" w:rsidRDefault="00EA7756">
      <w:pPr>
        <w:spacing w:after="120" w:line="360" w:lineRule="auto"/>
        <w:jc w:val="left"/>
        <w:rPr>
          <w:rFonts w:ascii="仿宋" w:eastAsia="仿宋" w:hAnsi="仿宋" w:cs="宋体" w:hint="eastAsia"/>
          <w:sz w:val="24"/>
          <w:szCs w:val="24"/>
        </w:rPr>
      </w:pPr>
    </w:p>
    <w:p w14:paraId="335B239D" w14:textId="77777777" w:rsidR="00EA7756" w:rsidRDefault="00000000">
      <w:pPr>
        <w:spacing w:after="120" w:line="360" w:lineRule="auto"/>
        <w:jc w:val="center"/>
        <w:rPr>
          <w:rFonts w:ascii="仿宋" w:eastAsia="仿宋" w:hAnsi="仿宋" w:cs="宋体" w:hint="eastAsia"/>
          <w:b/>
          <w:bCs/>
          <w:sz w:val="28"/>
          <w:szCs w:val="28"/>
        </w:rPr>
      </w:pPr>
      <w:r>
        <w:rPr>
          <w:rFonts w:ascii="仿宋" w:eastAsia="仿宋" w:hAnsi="仿宋" w:cs="宋体" w:hint="eastAsia"/>
          <w:b/>
          <w:bCs/>
          <w:sz w:val="28"/>
          <w:szCs w:val="28"/>
        </w:rPr>
        <w:t>期市综述</w:t>
      </w:r>
    </w:p>
    <w:p w14:paraId="4A720A16" w14:textId="76B3C8B9" w:rsidR="00EA7756" w:rsidRDefault="00000000">
      <w:pPr>
        <w:spacing w:after="120" w:line="360" w:lineRule="auto"/>
        <w:rPr>
          <w:rFonts w:ascii="仿宋" w:eastAsia="仿宋" w:hAnsi="仿宋" w:cs="宋体" w:hint="eastAsia"/>
          <w:sz w:val="24"/>
          <w:szCs w:val="24"/>
        </w:rPr>
      </w:pPr>
      <w:bookmarkStart w:id="0" w:name="OLE_LINK2"/>
      <w:bookmarkStart w:id="1" w:name="OLE_LINK4"/>
      <w:bookmarkStart w:id="2" w:name="OLE_LINK1"/>
      <w:bookmarkStart w:id="3" w:name="OLE_LINK5"/>
      <w:bookmarkStart w:id="4" w:name="OLE_LINK6"/>
      <w:r>
        <w:rPr>
          <w:rFonts w:ascii="仿宋" w:eastAsia="仿宋" w:hAnsi="仿宋" w:cs="宋体" w:hint="eastAsia"/>
          <w:sz w:val="24"/>
          <w:szCs w:val="24"/>
          <w:lang w:eastAsia="zh-Hans"/>
        </w:rPr>
        <w:t>截止</w:t>
      </w:r>
      <w:r w:rsidR="00D80CE7">
        <w:rPr>
          <w:rFonts w:ascii="仿宋" w:eastAsia="仿宋" w:hAnsi="仿宋" w:cs="宋体" w:hint="eastAsia"/>
          <w:sz w:val="24"/>
          <w:szCs w:val="24"/>
        </w:rPr>
        <w:t>9</w:t>
      </w:r>
      <w:r>
        <w:rPr>
          <w:rFonts w:ascii="仿宋" w:eastAsia="仿宋" w:hAnsi="仿宋" w:cs="宋体" w:hint="eastAsia"/>
          <w:sz w:val="24"/>
          <w:szCs w:val="24"/>
          <w:lang w:eastAsia="zh-Hans"/>
        </w:rPr>
        <w:t>月</w:t>
      </w:r>
      <w:r w:rsidR="00AB7043">
        <w:rPr>
          <w:rFonts w:ascii="仿宋" w:eastAsia="仿宋" w:hAnsi="仿宋" w:cs="宋体" w:hint="eastAsia"/>
          <w:sz w:val="24"/>
          <w:szCs w:val="24"/>
        </w:rPr>
        <w:t>9</w:t>
      </w:r>
      <w:r>
        <w:rPr>
          <w:rFonts w:ascii="仿宋" w:eastAsia="仿宋" w:hAnsi="仿宋" w:cs="宋体" w:hint="eastAsia"/>
          <w:sz w:val="24"/>
          <w:szCs w:val="24"/>
          <w:lang w:eastAsia="zh-Hans"/>
        </w:rPr>
        <w:t>日收盘，</w:t>
      </w:r>
      <w:bookmarkStart w:id="5" w:name="OLE_LINK3"/>
      <w:r w:rsidR="00AB7043" w:rsidRPr="00AB7043">
        <w:rPr>
          <w:rFonts w:ascii="仿宋" w:eastAsia="仿宋" w:hAnsi="仿宋" w:cs="宋体" w:hint="eastAsia"/>
          <w:sz w:val="24"/>
          <w:szCs w:val="24"/>
          <w:lang w:eastAsia="zh-Hans"/>
        </w:rPr>
        <w:t>国内期货主力合约涨跌互现。铁矿石涨超2%，鸡蛋、沪金、SC原油、燃料油涨超1%，硅铁、菜油、低硫燃料油（LU）涨近1%。跌幅方面，多晶硅、苹果跌超3%，丁二烯橡胶、20号胶（NR）、碳酸锂跌超2%</w:t>
      </w:r>
      <w:r>
        <w:rPr>
          <w:rFonts w:ascii="仿宋" w:eastAsia="仿宋" w:hAnsi="仿宋" w:cs="宋体" w:hint="eastAsia"/>
          <w:sz w:val="24"/>
          <w:szCs w:val="24"/>
          <w:lang w:eastAsia="zh-Hans"/>
        </w:rPr>
        <w:t>。</w:t>
      </w:r>
      <w:r w:rsidR="00AB7043" w:rsidRPr="00AB7043">
        <w:rPr>
          <w:rFonts w:ascii="仿宋" w:eastAsia="仿宋" w:hAnsi="仿宋" w:cs="宋体" w:hint="eastAsia"/>
          <w:sz w:val="24"/>
          <w:szCs w:val="24"/>
          <w:lang w:eastAsia="zh-Hans"/>
        </w:rPr>
        <w:t>沪深300股指期货（IF）主力合约跌0.69%，上证50股指期货（IH）主力合约跌0.45%，中证500股指期货（IC）主力合约跌0.76%，中证1000股指期货（IM）主力合约跌1.13%</w:t>
      </w:r>
      <w:r>
        <w:rPr>
          <w:rFonts w:ascii="仿宋" w:eastAsia="仿宋" w:hAnsi="仿宋" w:cs="宋体" w:hint="eastAsia"/>
          <w:sz w:val="24"/>
          <w:szCs w:val="24"/>
          <w:lang w:eastAsia="zh-Hans"/>
        </w:rPr>
        <w:t>。</w:t>
      </w:r>
      <w:r w:rsidR="00AB7043" w:rsidRPr="00AB7043">
        <w:rPr>
          <w:rFonts w:ascii="仿宋" w:eastAsia="仿宋" w:hAnsi="仿宋" w:cs="宋体" w:hint="eastAsia"/>
          <w:sz w:val="24"/>
          <w:szCs w:val="24"/>
          <w:lang w:eastAsia="zh-Hans"/>
        </w:rPr>
        <w:t>2年期国债期货（TS）主力合约跌0.02%，5年期国债期货（TF）主力</w:t>
      </w:r>
      <w:r w:rsidR="00AB7043" w:rsidRPr="00AB7043">
        <w:rPr>
          <w:rFonts w:ascii="仿宋" w:eastAsia="仿宋" w:hAnsi="仿宋" w:cs="宋体" w:hint="eastAsia"/>
          <w:sz w:val="24"/>
          <w:szCs w:val="24"/>
          <w:lang w:eastAsia="zh-Hans"/>
        </w:rPr>
        <w:lastRenderedPageBreak/>
        <w:t>合约跌0.01%，10年期国债期货（T）主力合约跌0.06%，30年期国债期货（TL）主力合约跌0.22%</w:t>
      </w:r>
      <w:r>
        <w:rPr>
          <w:rFonts w:ascii="仿宋" w:eastAsia="仿宋" w:hAnsi="仿宋" w:cs="宋体" w:hint="eastAsia"/>
          <w:sz w:val="24"/>
          <w:szCs w:val="24"/>
          <w:lang w:eastAsia="zh-Hans"/>
        </w:rPr>
        <w:t>。</w:t>
      </w:r>
    </w:p>
    <w:p w14:paraId="13F9D5D9" w14:textId="61FE9329" w:rsidR="00EA7756" w:rsidRDefault="00000000">
      <w:pPr>
        <w:spacing w:after="120" w:line="360" w:lineRule="auto"/>
        <w:rPr>
          <w:rFonts w:ascii="仿宋" w:eastAsia="仿宋" w:hAnsi="仿宋" w:cs="宋体" w:hint="eastAsia"/>
          <w:sz w:val="24"/>
          <w:szCs w:val="24"/>
        </w:rPr>
      </w:pPr>
      <w:r>
        <w:rPr>
          <w:rFonts w:ascii="仿宋" w:eastAsia="仿宋" w:hAnsi="仿宋" w:cs="宋体" w:hint="eastAsia"/>
          <w:sz w:val="24"/>
          <w:szCs w:val="24"/>
          <w:lang w:eastAsia="zh-Hans"/>
        </w:rPr>
        <w:t>资金流向</w:t>
      </w:r>
      <w:bookmarkEnd w:id="0"/>
      <w:bookmarkEnd w:id="1"/>
      <w:bookmarkEnd w:id="2"/>
      <w:bookmarkEnd w:id="5"/>
      <w:r w:rsidR="00AB7043" w:rsidRPr="00AB7043">
        <w:rPr>
          <w:rFonts w:ascii="仿宋" w:eastAsia="仿宋" w:hAnsi="仿宋" w:cs="宋体" w:hint="eastAsia"/>
          <w:sz w:val="24"/>
          <w:szCs w:val="24"/>
          <w:lang w:eastAsia="zh-Hans"/>
        </w:rPr>
        <w:t>截至09月09日15:17，国内期货主力合约资金流入方面，铁矿石2601流入6.61亿，菜油2601流入2.52亿，苹果2601流入2.16亿；资金流出方面，沪深300 2509流出34.26亿，中证500 2509流出24.75亿，中证1000 2509流出19.47亿。</w:t>
      </w:r>
      <w:bookmarkEnd w:id="3"/>
    </w:p>
    <w:bookmarkEnd w:id="4"/>
    <w:p w14:paraId="728D8FDD" w14:textId="77777777" w:rsidR="00EA7756" w:rsidRDefault="00EA7756">
      <w:pPr>
        <w:spacing w:after="120" w:line="360" w:lineRule="auto"/>
        <w:rPr>
          <w:rFonts w:ascii="仿宋" w:eastAsia="仿宋" w:hAnsi="仿宋" w:cs="宋体" w:hint="eastAsia"/>
          <w:sz w:val="24"/>
          <w:szCs w:val="24"/>
        </w:rPr>
      </w:pPr>
    </w:p>
    <w:p w14:paraId="3BD50DAB" w14:textId="77777777" w:rsidR="00EA7756" w:rsidRDefault="00000000">
      <w:pPr>
        <w:spacing w:after="120" w:line="360" w:lineRule="auto"/>
        <w:jc w:val="center"/>
        <w:rPr>
          <w:rFonts w:ascii="仿宋" w:eastAsia="仿宋" w:hAnsi="仿宋" w:cs="宋体" w:hint="eastAsia"/>
          <w:b/>
          <w:bCs/>
          <w:sz w:val="28"/>
          <w:szCs w:val="28"/>
        </w:rPr>
      </w:pPr>
      <w:r>
        <w:rPr>
          <w:rFonts w:ascii="仿宋" w:eastAsia="仿宋" w:hAnsi="仿宋" w:cs="宋体" w:hint="eastAsia"/>
          <w:b/>
          <w:bCs/>
          <w:sz w:val="28"/>
          <w:szCs w:val="28"/>
        </w:rPr>
        <w:t>核心观点</w:t>
      </w:r>
    </w:p>
    <w:p w14:paraId="777A20AD" w14:textId="77777777" w:rsidR="00EA7756" w:rsidRDefault="00EA7756">
      <w:pPr>
        <w:spacing w:after="120" w:line="360" w:lineRule="auto"/>
        <w:jc w:val="center"/>
        <w:rPr>
          <w:rFonts w:ascii="仿宋" w:eastAsia="仿宋" w:hAnsi="仿宋" w:cs="宋体" w:hint="eastAsia"/>
          <w:b/>
          <w:bCs/>
          <w:sz w:val="28"/>
          <w:szCs w:val="28"/>
        </w:rPr>
      </w:pPr>
    </w:p>
    <w:p w14:paraId="23447899"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沪铜： </w:t>
      </w:r>
    </w:p>
    <w:p w14:paraId="14D340DA" w14:textId="11D40B3F" w:rsidR="00EA7756" w:rsidRDefault="007B685B">
      <w:pPr>
        <w:spacing w:after="120" w:line="360" w:lineRule="auto"/>
        <w:rPr>
          <w:rFonts w:ascii="仿宋" w:eastAsia="仿宋" w:hAnsi="仿宋" w:cs="宋体" w:hint="eastAsia"/>
          <w:sz w:val="24"/>
          <w:szCs w:val="24"/>
        </w:rPr>
      </w:pPr>
      <w:r w:rsidRPr="007B685B">
        <w:rPr>
          <w:rFonts w:ascii="仿宋" w:eastAsia="仿宋" w:hAnsi="仿宋" w:cs="宋体" w:hint="eastAsia"/>
          <w:sz w:val="24"/>
          <w:szCs w:val="24"/>
        </w:rPr>
        <w:t>沪铜低开低走，日内震荡收跌，宏观来看，市场依然在定价美联储降息的幅度，不确定性依然存在。基本面来看，前期冶炼厂加工费出现回升拐点后，近两期继续下降。且硫酸价格逐渐出现拐点，预计价格已升至高位，后续对于冶炼厂的利润弥补将有所下滑，9月有5家冶炼厂有检修计划，涉及粗炼产能100万吨，预计9月国内电解铜产量将环比下降，铜关税落地后，进口铜货源回流至国内，且国内产量下半年预计有回落，进口铜货源将挤占国内市场，影响定价。需求方面，截至2025年7月，铜表观消费量为137.45万吨，整体来看，虽目前处于消费淡季阶段，但国内电网设施投资规模不断加大，拉动铜需求。目前铜价上行后，下游买单意愿不佳，升水承压，但临近金九银十旺季，需求有转好预期。综合来看，市场对于美联储降息持普遍确定预期，关注降息幅度对市场产生的波动影响，基本面库存低位及金九银十</w:t>
      </w:r>
      <w:proofErr w:type="gramStart"/>
      <w:r w:rsidRPr="007B685B">
        <w:rPr>
          <w:rFonts w:ascii="仿宋" w:eastAsia="仿宋" w:hAnsi="仿宋" w:cs="宋体" w:hint="eastAsia"/>
          <w:sz w:val="24"/>
          <w:szCs w:val="24"/>
        </w:rPr>
        <w:t>旺季有</w:t>
      </w:r>
      <w:proofErr w:type="gramEnd"/>
      <w:r w:rsidRPr="007B685B">
        <w:rPr>
          <w:rFonts w:ascii="仿宋" w:eastAsia="仿宋" w:hAnsi="仿宋" w:cs="宋体" w:hint="eastAsia"/>
          <w:sz w:val="24"/>
          <w:szCs w:val="24"/>
        </w:rPr>
        <w:t>好转预期，铜偏强震荡为主</w:t>
      </w:r>
      <w:r w:rsidR="005020E4">
        <w:rPr>
          <w:rFonts w:ascii="仿宋" w:eastAsia="仿宋" w:hAnsi="仿宋" w:cs="宋体" w:hint="eastAsia"/>
          <w:sz w:val="24"/>
          <w:szCs w:val="24"/>
        </w:rPr>
        <w:t>。</w:t>
      </w:r>
    </w:p>
    <w:p w14:paraId="5F726B51" w14:textId="77777777" w:rsidR="00EA7756" w:rsidRDefault="00EA7756">
      <w:pPr>
        <w:spacing w:after="120" w:line="360" w:lineRule="auto"/>
        <w:rPr>
          <w:rFonts w:ascii="仿宋" w:eastAsia="仿宋" w:hAnsi="仿宋" w:cs="宋体" w:hint="eastAsia"/>
          <w:bCs/>
          <w:sz w:val="24"/>
          <w:szCs w:val="24"/>
        </w:rPr>
      </w:pPr>
    </w:p>
    <w:p w14:paraId="438BFA29"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原油： </w:t>
      </w:r>
    </w:p>
    <w:p w14:paraId="6C08DAC6" w14:textId="6D9F5086" w:rsidR="00EA7756" w:rsidRDefault="00E93FA1">
      <w:pPr>
        <w:spacing w:after="120" w:line="360" w:lineRule="auto"/>
        <w:rPr>
          <w:rFonts w:ascii="仿宋" w:eastAsia="仿宋" w:hAnsi="仿宋" w:cs="宋体" w:hint="eastAsia"/>
          <w:bCs/>
          <w:sz w:val="24"/>
          <w:szCs w:val="24"/>
        </w:rPr>
      </w:pPr>
      <w:r w:rsidRPr="00E93FA1">
        <w:rPr>
          <w:rFonts w:ascii="仿宋" w:eastAsia="仿宋" w:hAnsi="仿宋" w:cs="宋体" w:hint="eastAsia"/>
          <w:bCs/>
          <w:sz w:val="24"/>
          <w:szCs w:val="24"/>
        </w:rPr>
        <w:t>原油处于季节性出行旺季尾声，目前EIA数据显示</w:t>
      </w:r>
      <w:proofErr w:type="gramStart"/>
      <w:r w:rsidRPr="00E93FA1">
        <w:rPr>
          <w:rFonts w:ascii="仿宋" w:eastAsia="仿宋" w:hAnsi="仿宋" w:cs="宋体" w:hint="eastAsia"/>
          <w:bCs/>
          <w:sz w:val="24"/>
          <w:szCs w:val="24"/>
        </w:rPr>
        <w:t>原油超</w:t>
      </w:r>
      <w:proofErr w:type="gramEnd"/>
      <w:r w:rsidRPr="00E93FA1">
        <w:rPr>
          <w:rFonts w:ascii="仿宋" w:eastAsia="仿宋" w:hAnsi="仿宋" w:cs="宋体" w:hint="eastAsia"/>
          <w:bCs/>
          <w:sz w:val="24"/>
          <w:szCs w:val="24"/>
        </w:rPr>
        <w:t>预期累库，汽油去库</w:t>
      </w:r>
      <w:proofErr w:type="gramStart"/>
      <w:r w:rsidRPr="00E93FA1">
        <w:rPr>
          <w:rFonts w:ascii="仿宋" w:eastAsia="仿宋" w:hAnsi="仿宋" w:cs="宋体" w:hint="eastAsia"/>
          <w:bCs/>
          <w:sz w:val="24"/>
          <w:szCs w:val="24"/>
        </w:rPr>
        <w:t>幅度超</w:t>
      </w:r>
      <w:proofErr w:type="gramEnd"/>
      <w:r w:rsidRPr="00E93FA1">
        <w:rPr>
          <w:rFonts w:ascii="仿宋" w:eastAsia="仿宋" w:hAnsi="仿宋" w:cs="宋体" w:hint="eastAsia"/>
          <w:bCs/>
          <w:sz w:val="24"/>
          <w:szCs w:val="24"/>
        </w:rPr>
        <w:t>预期，整体油品库存转而增加，美国炼厂开工率小幅回落0.3个百分点，但仍然较高。EIA和IEA均上调全球石油过剩幅度。9月7日，OPEC+正式发表声</w:t>
      </w:r>
      <w:r w:rsidRPr="00E93FA1">
        <w:rPr>
          <w:rFonts w:ascii="仿宋" w:eastAsia="仿宋" w:hAnsi="仿宋" w:cs="宋体" w:hint="eastAsia"/>
          <w:bCs/>
          <w:sz w:val="24"/>
          <w:szCs w:val="24"/>
        </w:rPr>
        <w:lastRenderedPageBreak/>
        <w:t>明，鉴于全球经济前景稳定、市场基本面健康（反映在较低的原油库存水平上），八国决定将自2023年4月宣布的每日165万桶额外自愿减产中，实施每日13.7万桶的产量调整，该调整将于2025年10月起实施。此165万桶/日的产量可根据市场形势变化部分或全部恢复，且将以循序渐进方式进行。八个欧佩克+国家将于10月5日举行下次会议，这将加剧四季度的原油压力。沙特阿美将旗舰产品阿拉伯轻质原油10月份销往亚洲的发货价格下调1美元/桶。美国对印度商品额外征收25%的关税，在8月27日生效，印度若放弃采购俄罗斯原油，将导致全球原油贸易流变动，造成对中东原油现货的抢购。目前俄罗斯原油贴水扩大后，印度继续进口俄罗斯原油，白宫贸易顾问纳瓦罗称如果印度停止购买俄罗斯石油，可获得25%的关税优惠。关注</w:t>
      </w:r>
      <w:proofErr w:type="gramStart"/>
      <w:r w:rsidRPr="00E93FA1">
        <w:rPr>
          <w:rFonts w:ascii="仿宋" w:eastAsia="仿宋" w:hAnsi="仿宋" w:cs="宋体" w:hint="eastAsia"/>
          <w:bCs/>
          <w:sz w:val="24"/>
          <w:szCs w:val="24"/>
        </w:rPr>
        <w:t>后续俄</w:t>
      </w:r>
      <w:proofErr w:type="gramEnd"/>
      <w:r w:rsidRPr="00E93FA1">
        <w:rPr>
          <w:rFonts w:ascii="仿宋" w:eastAsia="仿宋" w:hAnsi="仿宋" w:cs="宋体" w:hint="eastAsia"/>
          <w:bCs/>
          <w:sz w:val="24"/>
          <w:szCs w:val="24"/>
        </w:rPr>
        <w:t>乌停火协议谈判进展及印度对于俄罗斯原油的采购情况。后续消费旺季即将结束，美国非农就业数据疲软令市场担忧原油需求，OPEC+加速增产。原油供需将转弱，建议中长期逢高做空为主。短期，原油价格大跌已经部分释放周末OPEC+会议利空，市场或聚焦欧美是否会对俄罗斯原油加大制裁。建议原油空</w:t>
      </w:r>
      <w:proofErr w:type="gramStart"/>
      <w:r w:rsidRPr="00E93FA1">
        <w:rPr>
          <w:rFonts w:ascii="仿宋" w:eastAsia="仿宋" w:hAnsi="仿宋" w:cs="宋体" w:hint="eastAsia"/>
          <w:bCs/>
          <w:sz w:val="24"/>
          <w:szCs w:val="24"/>
        </w:rPr>
        <w:t>单部分</w:t>
      </w:r>
      <w:proofErr w:type="gramEnd"/>
      <w:r w:rsidRPr="00E93FA1">
        <w:rPr>
          <w:rFonts w:ascii="仿宋" w:eastAsia="仿宋" w:hAnsi="仿宋" w:cs="宋体" w:hint="eastAsia"/>
          <w:bCs/>
          <w:sz w:val="24"/>
          <w:szCs w:val="24"/>
        </w:rPr>
        <w:t>止盈离场</w:t>
      </w:r>
      <w:r w:rsidR="005020E4">
        <w:rPr>
          <w:rFonts w:ascii="仿宋" w:eastAsia="仿宋" w:hAnsi="仿宋" w:cs="宋体" w:hint="eastAsia"/>
          <w:bCs/>
          <w:sz w:val="24"/>
          <w:szCs w:val="24"/>
        </w:rPr>
        <w:t>。</w:t>
      </w:r>
    </w:p>
    <w:p w14:paraId="6A522A71" w14:textId="77777777" w:rsidR="00EA7756" w:rsidRDefault="00EA7756">
      <w:pPr>
        <w:spacing w:after="120" w:line="360" w:lineRule="auto"/>
        <w:rPr>
          <w:rFonts w:ascii="仿宋" w:eastAsia="仿宋" w:hAnsi="仿宋" w:cs="宋体" w:hint="eastAsia"/>
          <w:bCs/>
          <w:sz w:val="24"/>
          <w:szCs w:val="24"/>
        </w:rPr>
      </w:pPr>
    </w:p>
    <w:p w14:paraId="6D3317A0"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沥青： </w:t>
      </w:r>
    </w:p>
    <w:p w14:paraId="5C1E4883" w14:textId="4696DE59" w:rsidR="00EA7756" w:rsidRDefault="00E93FA1">
      <w:pPr>
        <w:spacing w:after="120" w:line="360" w:lineRule="auto"/>
        <w:rPr>
          <w:rFonts w:ascii="仿宋" w:eastAsia="仿宋" w:hAnsi="仿宋" w:cs="宋体" w:hint="eastAsia"/>
          <w:bCs/>
          <w:sz w:val="24"/>
          <w:szCs w:val="24"/>
        </w:rPr>
      </w:pPr>
      <w:r w:rsidRPr="00E93FA1">
        <w:rPr>
          <w:rFonts w:ascii="仿宋" w:eastAsia="仿宋" w:hAnsi="仿宋" w:cs="宋体" w:hint="eastAsia"/>
          <w:bCs/>
          <w:sz w:val="24"/>
          <w:szCs w:val="24"/>
        </w:rPr>
        <w:t>供应端，上周沥青开工率环比回落1.2百分点至28.1%，较去年同期高了3.8个百分点，沥青开工率继续回落，仍处于近年同期偏低水平。</w:t>
      </w:r>
      <w:proofErr w:type="gramStart"/>
      <w:r w:rsidRPr="00E93FA1">
        <w:rPr>
          <w:rFonts w:ascii="仿宋" w:eastAsia="仿宋" w:hAnsi="仿宋" w:cs="宋体" w:hint="eastAsia"/>
          <w:bCs/>
          <w:sz w:val="24"/>
          <w:szCs w:val="24"/>
        </w:rPr>
        <w:t>据隆众资讯</w:t>
      </w:r>
      <w:proofErr w:type="gramEnd"/>
      <w:r w:rsidRPr="00E93FA1">
        <w:rPr>
          <w:rFonts w:ascii="仿宋" w:eastAsia="仿宋" w:hAnsi="仿宋" w:cs="宋体" w:hint="eastAsia"/>
          <w:bCs/>
          <w:sz w:val="24"/>
          <w:szCs w:val="24"/>
        </w:rPr>
        <w:t>数据，9月份国内沥青预计排产268.6万吨，环比增加27.3万吨，增幅为11.3%，同比增加68.3万吨，增幅为34.1%。上周，沥青下游各行业开工率多数下跌，其中道路沥青开工环比下跌0.83个百分点至27.5%，降至近年同期最低水平，受到资金和部分地区降雨高温制约。上周，全国</w:t>
      </w:r>
      <w:proofErr w:type="gramStart"/>
      <w:r w:rsidRPr="00E93FA1">
        <w:rPr>
          <w:rFonts w:ascii="仿宋" w:eastAsia="仿宋" w:hAnsi="仿宋" w:cs="宋体" w:hint="eastAsia"/>
          <w:bCs/>
          <w:sz w:val="24"/>
          <w:szCs w:val="24"/>
        </w:rPr>
        <w:t>出货量环比</w:t>
      </w:r>
      <w:proofErr w:type="gramEnd"/>
      <w:r w:rsidRPr="00E93FA1">
        <w:rPr>
          <w:rFonts w:ascii="仿宋" w:eastAsia="仿宋" w:hAnsi="仿宋" w:cs="宋体" w:hint="eastAsia"/>
          <w:bCs/>
          <w:sz w:val="24"/>
          <w:szCs w:val="24"/>
        </w:rPr>
        <w:t>减少0.11%至26.35万吨，处于中性偏低水平。沥青炼厂库存存货比上周环比有所下降，但仍处于近年来同期的最低位。美国允许雪佛</w:t>
      </w:r>
      <w:proofErr w:type="gramStart"/>
      <w:r w:rsidRPr="00E93FA1">
        <w:rPr>
          <w:rFonts w:ascii="仿宋" w:eastAsia="仿宋" w:hAnsi="仿宋" w:cs="宋体" w:hint="eastAsia"/>
          <w:bCs/>
          <w:sz w:val="24"/>
          <w:szCs w:val="24"/>
        </w:rPr>
        <w:t>龙恢复</w:t>
      </w:r>
      <w:proofErr w:type="gramEnd"/>
      <w:r w:rsidRPr="00E93FA1">
        <w:rPr>
          <w:rFonts w:ascii="仿宋" w:eastAsia="仿宋" w:hAnsi="仿宋" w:cs="宋体" w:hint="eastAsia"/>
          <w:bCs/>
          <w:sz w:val="24"/>
          <w:szCs w:val="24"/>
        </w:rPr>
        <w:t>在委内瑞拉开采石油，或将导致中国购买沥青原料的贴水幅度缩小。本周东明石化等装置计划转产沥青，南方天气转好支撑刚需，但北方个别地区降雨较多，另外，资金端制约，市场谨慎，影响沥青需求。OPEC+计划10月增产13.7万桶/日，将提前一年多开始逐步解除165万桶/日的</w:t>
      </w:r>
      <w:r w:rsidRPr="00E93FA1">
        <w:rPr>
          <w:rFonts w:ascii="仿宋" w:eastAsia="仿宋" w:hAnsi="仿宋" w:cs="宋体" w:hint="eastAsia"/>
          <w:bCs/>
          <w:sz w:val="24"/>
          <w:szCs w:val="24"/>
        </w:rPr>
        <w:lastRenderedPageBreak/>
        <w:t>二层限产，原油期价跌幅较大，沥青成本端</w:t>
      </w:r>
      <w:proofErr w:type="gramStart"/>
      <w:r w:rsidRPr="00E93FA1">
        <w:rPr>
          <w:rFonts w:ascii="仿宋" w:eastAsia="仿宋" w:hAnsi="仿宋" w:cs="宋体" w:hint="eastAsia"/>
          <w:bCs/>
          <w:sz w:val="24"/>
          <w:szCs w:val="24"/>
        </w:rPr>
        <w:t>支撑走</w:t>
      </w:r>
      <w:proofErr w:type="gramEnd"/>
      <w:r w:rsidRPr="00E93FA1">
        <w:rPr>
          <w:rFonts w:ascii="仿宋" w:eastAsia="仿宋" w:hAnsi="仿宋" w:cs="宋体" w:hint="eastAsia"/>
          <w:bCs/>
          <w:sz w:val="24"/>
          <w:szCs w:val="24"/>
        </w:rPr>
        <w:t>弱。沥青</w:t>
      </w:r>
      <w:proofErr w:type="gramStart"/>
      <w:r w:rsidRPr="00E93FA1">
        <w:rPr>
          <w:rFonts w:ascii="仿宋" w:eastAsia="仿宋" w:hAnsi="仿宋" w:cs="宋体" w:hint="eastAsia"/>
          <w:bCs/>
          <w:sz w:val="24"/>
          <w:szCs w:val="24"/>
        </w:rPr>
        <w:t>供需双弱</w:t>
      </w:r>
      <w:proofErr w:type="gramEnd"/>
      <w:r w:rsidRPr="00E93FA1">
        <w:rPr>
          <w:rFonts w:ascii="仿宋" w:eastAsia="仿宋" w:hAnsi="仿宋" w:cs="宋体" w:hint="eastAsia"/>
          <w:bCs/>
          <w:sz w:val="24"/>
          <w:szCs w:val="24"/>
        </w:rPr>
        <w:t>，由于沥青期价已经下跌至震荡区间下沿，建议沥青空单暂时止盈离场</w:t>
      </w:r>
      <w:r w:rsidR="005020E4">
        <w:rPr>
          <w:rFonts w:ascii="仿宋" w:eastAsia="仿宋" w:hAnsi="仿宋" w:cs="宋体" w:hint="eastAsia"/>
          <w:bCs/>
          <w:sz w:val="24"/>
          <w:szCs w:val="24"/>
        </w:rPr>
        <w:t>。</w:t>
      </w:r>
    </w:p>
    <w:p w14:paraId="10D0BF4E" w14:textId="77777777" w:rsidR="00EA7756" w:rsidRDefault="00EA7756">
      <w:pPr>
        <w:spacing w:after="120" w:line="360" w:lineRule="auto"/>
        <w:rPr>
          <w:rFonts w:ascii="仿宋" w:eastAsia="仿宋" w:hAnsi="仿宋" w:cs="宋体" w:hint="eastAsia"/>
          <w:bCs/>
          <w:sz w:val="24"/>
          <w:szCs w:val="24"/>
        </w:rPr>
      </w:pPr>
    </w:p>
    <w:p w14:paraId="3347D486"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PP：</w:t>
      </w:r>
    </w:p>
    <w:p w14:paraId="65B0F391" w14:textId="5522E6A2" w:rsidR="00EA7756" w:rsidRDefault="00E93FA1">
      <w:pPr>
        <w:spacing w:after="120" w:line="360" w:lineRule="auto"/>
        <w:rPr>
          <w:rFonts w:ascii="仿宋" w:eastAsia="仿宋" w:hAnsi="仿宋" w:cs="宋体" w:hint="eastAsia"/>
          <w:bCs/>
          <w:sz w:val="24"/>
          <w:szCs w:val="24"/>
        </w:rPr>
      </w:pPr>
      <w:r w:rsidRPr="00E93FA1">
        <w:rPr>
          <w:rFonts w:ascii="仿宋" w:eastAsia="仿宋" w:hAnsi="仿宋" w:cs="宋体" w:hint="eastAsia"/>
          <w:bCs/>
          <w:sz w:val="24"/>
          <w:szCs w:val="24"/>
        </w:rPr>
        <w:t>PP下游开工率环比回升0.49个百分点至50.23%，处于历年同期偏低水平。其中塑编开工率环比上涨0.4个百分点至42.7%，塑编订单环比继续略有增加，略高于前两年同期。9月9日，检修装置变动不大，PP企业开工率维持在82%左右，处于中性偏低水平，</w:t>
      </w:r>
      <w:proofErr w:type="gramStart"/>
      <w:r w:rsidRPr="00E93FA1">
        <w:rPr>
          <w:rFonts w:ascii="仿宋" w:eastAsia="仿宋" w:hAnsi="仿宋" w:cs="宋体" w:hint="eastAsia"/>
          <w:bCs/>
          <w:sz w:val="24"/>
          <w:szCs w:val="24"/>
        </w:rPr>
        <w:t>标品拉丝</w:t>
      </w:r>
      <w:proofErr w:type="gramEnd"/>
      <w:r w:rsidRPr="00E93FA1">
        <w:rPr>
          <w:rFonts w:ascii="仿宋" w:eastAsia="仿宋" w:hAnsi="仿宋" w:cs="宋体" w:hint="eastAsia"/>
          <w:bCs/>
          <w:sz w:val="24"/>
          <w:szCs w:val="24"/>
        </w:rPr>
        <w:t>生产比例上涨至28%左右。石化企业9月份去库一般，石化库存处于近年同期中性水平。成本端，OPEC+计划10月增产13.7万桶/日，将提前一年多开始逐步解除165万桶/日的二层限产，原油价格下跌。供应上，新增产能45万吨/年中海油宁波大</w:t>
      </w:r>
      <w:proofErr w:type="gramStart"/>
      <w:r w:rsidRPr="00E93FA1">
        <w:rPr>
          <w:rFonts w:ascii="仿宋" w:eastAsia="仿宋" w:hAnsi="仿宋" w:cs="宋体" w:hint="eastAsia"/>
          <w:bCs/>
          <w:sz w:val="24"/>
          <w:szCs w:val="24"/>
        </w:rPr>
        <w:t>榭</w:t>
      </w:r>
      <w:proofErr w:type="gramEnd"/>
      <w:r w:rsidRPr="00E93FA1">
        <w:rPr>
          <w:rFonts w:ascii="仿宋" w:eastAsia="仿宋" w:hAnsi="仿宋" w:cs="宋体" w:hint="eastAsia"/>
          <w:bCs/>
          <w:sz w:val="24"/>
          <w:szCs w:val="24"/>
        </w:rPr>
        <w:t>PP二期二线8月底已经投产，另</w:t>
      </w:r>
      <w:proofErr w:type="gramStart"/>
      <w:r w:rsidRPr="00E93FA1">
        <w:rPr>
          <w:rFonts w:ascii="仿宋" w:eastAsia="仿宋" w:hAnsi="仿宋" w:cs="宋体" w:hint="eastAsia"/>
          <w:bCs/>
          <w:sz w:val="24"/>
          <w:szCs w:val="24"/>
        </w:rPr>
        <w:t>一条产线45万吨</w:t>
      </w:r>
      <w:proofErr w:type="gramEnd"/>
      <w:r w:rsidRPr="00E93FA1">
        <w:rPr>
          <w:rFonts w:ascii="仿宋" w:eastAsia="仿宋" w:hAnsi="仿宋" w:cs="宋体" w:hint="eastAsia"/>
          <w:bCs/>
          <w:sz w:val="24"/>
          <w:szCs w:val="24"/>
        </w:rPr>
        <w:t>/年中海油宁波大</w:t>
      </w:r>
      <w:proofErr w:type="gramStart"/>
      <w:r w:rsidRPr="00E93FA1">
        <w:rPr>
          <w:rFonts w:ascii="仿宋" w:eastAsia="仿宋" w:hAnsi="仿宋" w:cs="宋体" w:hint="eastAsia"/>
          <w:bCs/>
          <w:sz w:val="24"/>
          <w:szCs w:val="24"/>
        </w:rPr>
        <w:t>榭</w:t>
      </w:r>
      <w:proofErr w:type="gramEnd"/>
      <w:r w:rsidRPr="00E93FA1">
        <w:rPr>
          <w:rFonts w:ascii="仿宋" w:eastAsia="仿宋" w:hAnsi="仿宋" w:cs="宋体" w:hint="eastAsia"/>
          <w:bCs/>
          <w:sz w:val="24"/>
          <w:szCs w:val="24"/>
        </w:rPr>
        <w:t>PP二期一线9月初投产，近期检修装置略有增加。天气有所好转，下游逐步进入金九银十旺季，塑编开工继续提升，PP下游多数行业有继续走高预期，下游后续备货或能带来一定的提振，关注全球贸易战进展，目前PP产业还未有反内卷实际政策落地，当然反内卷与老旧装置淘汰，解决石化产能过剩问题仍是宏观政策，将影响后续行情，预计近期PP震荡运行，下方空间有限</w:t>
      </w:r>
      <w:r w:rsidR="00B811B2">
        <w:rPr>
          <w:rFonts w:ascii="仿宋" w:eastAsia="仿宋" w:hAnsi="仿宋" w:cs="宋体" w:hint="eastAsia"/>
          <w:bCs/>
          <w:sz w:val="24"/>
          <w:szCs w:val="24"/>
        </w:rPr>
        <w:t>。</w:t>
      </w:r>
    </w:p>
    <w:p w14:paraId="507CE82D" w14:textId="77777777" w:rsidR="00EA7756" w:rsidRDefault="00EA7756">
      <w:pPr>
        <w:spacing w:after="120" w:line="360" w:lineRule="auto"/>
        <w:rPr>
          <w:rFonts w:ascii="仿宋" w:eastAsia="仿宋" w:hAnsi="仿宋" w:cs="宋体" w:hint="eastAsia"/>
          <w:bCs/>
          <w:sz w:val="24"/>
          <w:szCs w:val="24"/>
        </w:rPr>
      </w:pPr>
    </w:p>
    <w:p w14:paraId="62E3F2C4"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塑料： </w:t>
      </w:r>
    </w:p>
    <w:p w14:paraId="5DE54309" w14:textId="5EAA9A39" w:rsidR="00EA7756" w:rsidRDefault="00E93FA1">
      <w:pPr>
        <w:spacing w:after="120" w:line="360" w:lineRule="auto"/>
        <w:rPr>
          <w:rFonts w:ascii="仿宋" w:eastAsia="仿宋" w:hAnsi="仿宋" w:cs="宋体" w:hint="eastAsia"/>
          <w:sz w:val="24"/>
          <w:szCs w:val="24"/>
        </w:rPr>
      </w:pPr>
      <w:r w:rsidRPr="00E93FA1">
        <w:rPr>
          <w:rFonts w:ascii="仿宋" w:eastAsia="仿宋" w:hAnsi="仿宋" w:cs="宋体" w:hint="eastAsia"/>
          <w:sz w:val="24"/>
          <w:szCs w:val="24"/>
        </w:rPr>
        <w:t>9月9日，检修装置变动不大，塑料开工率维持在81%左右，目前开工率处于中性偏低水平。PE下游开工率环比上升0.76个百分点至40.30%，农膜逐步进入旺季，农膜订单和农膜原料库存继续加速增加，包装膜订单同样增加，只是整体PE下游开工率仍处于近年同期偏低位水平。石化企业9月份去库一般，石化库存处于近年同期中性水平。成本端，OPEC+计划10月增产13.7万桶/日，将提前一年多开始逐步解除165万桶/日的二层限产，原油价格下跌。供应上，新增产能40万吨/年的吉林石化HDPE7月底投料开车，近期塑料开工率有所下降。农膜逐步进入旺季，后续需求将进一步提升，近期市场交易氛围略有改善，农膜企业持续</w:t>
      </w:r>
      <w:r w:rsidRPr="00E93FA1">
        <w:rPr>
          <w:rFonts w:ascii="仿宋" w:eastAsia="仿宋" w:hAnsi="仿宋" w:cs="宋体" w:hint="eastAsia"/>
          <w:sz w:val="24"/>
          <w:szCs w:val="24"/>
        </w:rPr>
        <w:lastRenderedPageBreak/>
        <w:t>备货，订单逐步积累，开工情况略有改善，或将带来一定提振，目前塑料产业还未有反内卷实际政策落地，当然反内卷与老旧装置淘汰，解决石化产能过剩问题仍是宏观政策，将影响后续行情，预计近期塑料震荡运行，下方空间有限</w:t>
      </w:r>
      <w:r w:rsidR="00B811B2">
        <w:rPr>
          <w:rFonts w:ascii="仿宋" w:eastAsia="仿宋" w:hAnsi="仿宋" w:cs="宋体" w:hint="eastAsia"/>
          <w:sz w:val="24"/>
          <w:szCs w:val="24"/>
        </w:rPr>
        <w:t>。</w:t>
      </w:r>
    </w:p>
    <w:p w14:paraId="3F499772" w14:textId="77777777" w:rsidR="00EA7756" w:rsidRDefault="00EA7756">
      <w:pPr>
        <w:spacing w:after="120" w:line="360" w:lineRule="auto"/>
        <w:rPr>
          <w:rFonts w:ascii="仿宋" w:eastAsia="仿宋" w:hAnsi="仿宋" w:cs="宋体" w:hint="eastAsia"/>
          <w:b/>
          <w:bCs/>
          <w:sz w:val="24"/>
          <w:szCs w:val="24"/>
        </w:rPr>
      </w:pPr>
    </w:p>
    <w:p w14:paraId="0543CED4"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PVC： </w:t>
      </w:r>
    </w:p>
    <w:p w14:paraId="15624966" w14:textId="1DDE1E5F" w:rsidR="00EA7756" w:rsidRDefault="00E93FA1">
      <w:pPr>
        <w:spacing w:after="120" w:line="360" w:lineRule="auto"/>
        <w:rPr>
          <w:rFonts w:ascii="仿宋" w:eastAsia="仿宋" w:hAnsi="仿宋" w:cs="宋体" w:hint="eastAsia"/>
          <w:bCs/>
          <w:sz w:val="24"/>
          <w:szCs w:val="24"/>
        </w:rPr>
      </w:pPr>
      <w:r w:rsidRPr="00E93FA1">
        <w:rPr>
          <w:rFonts w:ascii="仿宋" w:eastAsia="仿宋" w:hAnsi="仿宋" w:cs="宋体" w:hint="eastAsia"/>
          <w:bCs/>
          <w:sz w:val="24"/>
          <w:szCs w:val="24"/>
        </w:rPr>
        <w:t>上游电石价格多数地区稳定。目前供应端，PVC开工率环比增加1.11个百分点至77.13%，PVC开工率转而增加，仍处于近年同期偏高水平。PVC下游开工率小幅增加，但同比</w:t>
      </w:r>
      <w:proofErr w:type="gramStart"/>
      <w:r w:rsidRPr="00E93FA1">
        <w:rPr>
          <w:rFonts w:ascii="仿宋" w:eastAsia="仿宋" w:hAnsi="仿宋" w:cs="宋体" w:hint="eastAsia"/>
          <w:bCs/>
          <w:sz w:val="24"/>
          <w:szCs w:val="24"/>
        </w:rPr>
        <w:t>往年仍</w:t>
      </w:r>
      <w:proofErr w:type="gramEnd"/>
      <w:r w:rsidRPr="00E93FA1">
        <w:rPr>
          <w:rFonts w:ascii="仿宋" w:eastAsia="仿宋" w:hAnsi="仿宋" w:cs="宋体" w:hint="eastAsia"/>
          <w:bCs/>
          <w:sz w:val="24"/>
          <w:szCs w:val="24"/>
        </w:rPr>
        <w:t>偏低，采购较为谨慎。印度将BIS政策再次延期六个月至2025年12月24日执行，中国台湾台塑9月份报价上调10-30美元/吨，近期出口签单一般，8月14日，印度公示最新的进口PVC反倾销税，其中中国大陆地区上调50美元/吨左右，下半年中国PVC出口预期减弱。上周社会库存继续增加，目前仍偏高，库存压力仍然较大。2025年1-7月份，房地产仍在调整阶段，投资、新开工、竣工面积同比</w:t>
      </w:r>
      <w:proofErr w:type="gramStart"/>
      <w:r w:rsidRPr="00E93FA1">
        <w:rPr>
          <w:rFonts w:ascii="仿宋" w:eastAsia="仿宋" w:hAnsi="仿宋" w:cs="宋体" w:hint="eastAsia"/>
          <w:bCs/>
          <w:sz w:val="24"/>
          <w:szCs w:val="24"/>
        </w:rPr>
        <w:t>降幅仍</w:t>
      </w:r>
      <w:proofErr w:type="gramEnd"/>
      <w:r w:rsidRPr="00E93FA1">
        <w:rPr>
          <w:rFonts w:ascii="仿宋" w:eastAsia="仿宋" w:hAnsi="仿宋" w:cs="宋体" w:hint="eastAsia"/>
          <w:bCs/>
          <w:sz w:val="24"/>
          <w:szCs w:val="24"/>
        </w:rPr>
        <w:t>较大，投资、销售、竣工等同比增速进一步下降。30大中城市商品房</w:t>
      </w:r>
      <w:proofErr w:type="gramStart"/>
      <w:r w:rsidRPr="00E93FA1">
        <w:rPr>
          <w:rFonts w:ascii="仿宋" w:eastAsia="仿宋" w:hAnsi="仿宋" w:cs="宋体" w:hint="eastAsia"/>
          <w:bCs/>
          <w:sz w:val="24"/>
          <w:szCs w:val="24"/>
        </w:rPr>
        <w:t>周度成交面积环</w:t>
      </w:r>
      <w:proofErr w:type="gramEnd"/>
      <w:r w:rsidRPr="00E93FA1">
        <w:rPr>
          <w:rFonts w:ascii="仿宋" w:eastAsia="仿宋" w:hAnsi="仿宋" w:cs="宋体" w:hint="eastAsia"/>
          <w:bCs/>
          <w:sz w:val="24"/>
          <w:szCs w:val="24"/>
        </w:rPr>
        <w:t>比回落，仍是历年同期最低水平，房地产改善仍需时间。氯</w:t>
      </w:r>
      <w:proofErr w:type="gramStart"/>
      <w:r w:rsidRPr="00E93FA1">
        <w:rPr>
          <w:rFonts w:ascii="仿宋" w:eastAsia="仿宋" w:hAnsi="仿宋" w:cs="宋体" w:hint="eastAsia"/>
          <w:bCs/>
          <w:sz w:val="24"/>
          <w:szCs w:val="24"/>
        </w:rPr>
        <w:t>碱综合</w:t>
      </w:r>
      <w:proofErr w:type="gramEnd"/>
      <w:r w:rsidRPr="00E93FA1">
        <w:rPr>
          <w:rFonts w:ascii="仿宋" w:eastAsia="仿宋" w:hAnsi="仿宋" w:cs="宋体" w:hint="eastAsia"/>
          <w:bCs/>
          <w:sz w:val="24"/>
          <w:szCs w:val="24"/>
        </w:rPr>
        <w:t>利润仍为正值，PVC开工率上周有所增加，仍偏高。同时新增产能上，50万吨/年的万华化学8月份已经量产，40万吨/年的天津</w:t>
      </w:r>
      <w:proofErr w:type="gramStart"/>
      <w:r w:rsidRPr="00E93FA1">
        <w:rPr>
          <w:rFonts w:ascii="仿宋" w:eastAsia="仿宋" w:hAnsi="仿宋" w:cs="宋体" w:hint="eastAsia"/>
          <w:bCs/>
          <w:sz w:val="24"/>
          <w:szCs w:val="24"/>
        </w:rPr>
        <w:t>渤</w:t>
      </w:r>
      <w:proofErr w:type="gramEnd"/>
      <w:r w:rsidRPr="00E93FA1">
        <w:rPr>
          <w:rFonts w:ascii="仿宋" w:eastAsia="仿宋" w:hAnsi="仿宋" w:cs="宋体" w:hint="eastAsia"/>
          <w:bCs/>
          <w:sz w:val="24"/>
          <w:szCs w:val="24"/>
        </w:rPr>
        <w:t>化8月份试生产后，预计9月份稳定生产，30万吨/年的甘肃耀望、20万吨/年的青岛海湾计划9月试车。电石价格支撑仍然不强，需求未实质性改善之前PVC压力较大。目前PVC产业还未有实际政策落地，老装置也大多通过技改升级，当然反内卷与老旧装置淘汰，解决石化产能过剩问题仍是宏观政策，将影响后续行情，目前PVC自身基本面压力仍较大，</w:t>
      </w:r>
      <w:proofErr w:type="gramStart"/>
      <w:r w:rsidRPr="00E93FA1">
        <w:rPr>
          <w:rFonts w:ascii="仿宋" w:eastAsia="仿宋" w:hAnsi="仿宋" w:cs="宋体" w:hint="eastAsia"/>
          <w:bCs/>
          <w:sz w:val="24"/>
          <w:szCs w:val="24"/>
        </w:rPr>
        <w:t>基差偏低</w:t>
      </w:r>
      <w:proofErr w:type="gramEnd"/>
      <w:r w:rsidRPr="00E93FA1">
        <w:rPr>
          <w:rFonts w:ascii="仿宋" w:eastAsia="仿宋" w:hAnsi="仿宋" w:cs="宋体" w:hint="eastAsia"/>
          <w:bCs/>
          <w:sz w:val="24"/>
          <w:szCs w:val="24"/>
        </w:rPr>
        <w:t>，预计PVC震荡下行</w:t>
      </w:r>
      <w:r w:rsidR="00B811B2">
        <w:rPr>
          <w:rFonts w:ascii="仿宋" w:eastAsia="仿宋" w:hAnsi="仿宋" w:cs="宋体" w:hint="eastAsia"/>
          <w:bCs/>
          <w:sz w:val="24"/>
          <w:szCs w:val="24"/>
        </w:rPr>
        <w:t>。</w:t>
      </w:r>
    </w:p>
    <w:p w14:paraId="3F34C06B" w14:textId="77777777" w:rsidR="00EA7756" w:rsidRDefault="00EA7756">
      <w:pPr>
        <w:spacing w:after="120" w:line="360" w:lineRule="auto"/>
        <w:rPr>
          <w:rFonts w:ascii="仿宋" w:eastAsia="仿宋" w:hAnsi="仿宋" w:cs="楷体" w:hint="eastAsia"/>
          <w:b/>
          <w:iCs/>
          <w:color w:val="1F497D"/>
          <w:sz w:val="24"/>
          <w:szCs w:val="24"/>
        </w:rPr>
      </w:pPr>
    </w:p>
    <w:p w14:paraId="65C6ABC6" w14:textId="77777777" w:rsidR="00EA7756" w:rsidRDefault="00000000">
      <w:pPr>
        <w:spacing w:after="120" w:line="360" w:lineRule="auto"/>
        <w:rPr>
          <w:rFonts w:ascii="仿宋" w:eastAsia="仿宋" w:hAnsi="仿宋" w:cs="宋体" w:hint="eastAsia"/>
          <w:b/>
          <w:bCs/>
          <w:sz w:val="24"/>
          <w:szCs w:val="24"/>
        </w:rPr>
      </w:pPr>
      <w:r>
        <w:rPr>
          <w:rFonts w:ascii="仿宋" w:eastAsia="仿宋" w:hAnsi="仿宋" w:cs="宋体" w:hint="eastAsia"/>
          <w:b/>
          <w:bCs/>
          <w:sz w:val="24"/>
          <w:szCs w:val="24"/>
        </w:rPr>
        <w:t xml:space="preserve">尿素： </w:t>
      </w:r>
    </w:p>
    <w:p w14:paraId="11B8C225" w14:textId="314C50C8" w:rsidR="00EA7756" w:rsidRDefault="00E93FA1">
      <w:pPr>
        <w:spacing w:after="120" w:line="360" w:lineRule="auto"/>
        <w:rPr>
          <w:rFonts w:ascii="仿宋" w:eastAsia="仿宋" w:hAnsi="仿宋" w:cs="楷体" w:hint="eastAsia"/>
          <w:b/>
          <w:iCs/>
          <w:color w:val="1F497D"/>
          <w:sz w:val="24"/>
          <w:szCs w:val="24"/>
        </w:rPr>
      </w:pPr>
      <w:r w:rsidRPr="00E93FA1">
        <w:rPr>
          <w:rFonts w:ascii="仿宋" w:eastAsia="仿宋" w:hAnsi="仿宋" w:cs="宋体" w:hint="eastAsia"/>
          <w:bCs/>
          <w:sz w:val="24"/>
          <w:szCs w:val="24"/>
        </w:rPr>
        <w:t>今日低开低走，日内下挫。期货行情连续下挫，市场情绪低迷，上游工厂出货未有好转，价格维持疲弱，山东、河南及河北尿素工厂小颗粒尿素出厂价格范围多在1620-1680元/吨。基本面来看，近期尿素日产维持在18-19万吨以内波动，位于近</w:t>
      </w:r>
      <w:proofErr w:type="gramStart"/>
      <w:r w:rsidRPr="00E93FA1">
        <w:rPr>
          <w:rFonts w:ascii="仿宋" w:eastAsia="仿宋" w:hAnsi="仿宋" w:cs="宋体" w:hint="eastAsia"/>
          <w:bCs/>
          <w:sz w:val="24"/>
          <w:szCs w:val="24"/>
        </w:rPr>
        <w:t>几</w:t>
      </w:r>
      <w:proofErr w:type="gramEnd"/>
      <w:r w:rsidRPr="00E93FA1">
        <w:rPr>
          <w:rFonts w:ascii="仿宋" w:eastAsia="仿宋" w:hAnsi="仿宋" w:cs="宋体" w:hint="eastAsia"/>
          <w:bCs/>
          <w:sz w:val="24"/>
          <w:szCs w:val="24"/>
        </w:rPr>
        <w:t>月以来的最低位置，由于库存高企，市场货源充沛，故该幅度的减产并</w:t>
      </w:r>
      <w:r w:rsidRPr="00E93FA1">
        <w:rPr>
          <w:rFonts w:ascii="仿宋" w:eastAsia="仿宋" w:hAnsi="仿宋" w:cs="宋体" w:hint="eastAsia"/>
          <w:bCs/>
          <w:sz w:val="24"/>
          <w:szCs w:val="24"/>
        </w:rPr>
        <w:lastRenderedPageBreak/>
        <w:t>未改变宽松格局。需求端，内需依然表现低迷，复合肥工厂上期开工大幅下滑，本周预计逐渐复产，厂内成品库存继续去化，成品</w:t>
      </w:r>
      <w:proofErr w:type="gramStart"/>
      <w:r w:rsidRPr="00E93FA1">
        <w:rPr>
          <w:rFonts w:ascii="仿宋" w:eastAsia="仿宋" w:hAnsi="仿宋" w:cs="宋体" w:hint="eastAsia"/>
          <w:bCs/>
          <w:sz w:val="24"/>
          <w:szCs w:val="24"/>
        </w:rPr>
        <w:t>肥开始</w:t>
      </w:r>
      <w:proofErr w:type="gramEnd"/>
      <w:r w:rsidRPr="00E93FA1">
        <w:rPr>
          <w:rFonts w:ascii="仿宋" w:eastAsia="仿宋" w:hAnsi="仿宋" w:cs="宋体" w:hint="eastAsia"/>
          <w:bCs/>
          <w:sz w:val="24"/>
          <w:szCs w:val="24"/>
        </w:rPr>
        <w:t>向终端转移，需求前置的缘故，后续集中备肥可能性较低，成品库存同比偏高下，对尿素的需求增量或有限。工厂待发流向不足，尿素厂内库存继续累库，较上周增加0.92万吨，环比增加0.85%。综合来看，下游需求前置，后续增量有限，尿素库存高企，行情偏弱运行为主，但目前价格偏低，多空博弈中，下探底部空间</w:t>
      </w:r>
      <w:r w:rsidR="005020E4">
        <w:rPr>
          <w:rFonts w:ascii="仿宋" w:eastAsia="仿宋" w:hAnsi="仿宋" w:cs="宋体" w:hint="eastAsia"/>
          <w:bCs/>
          <w:sz w:val="24"/>
          <w:szCs w:val="24"/>
        </w:rPr>
        <w:t>。</w:t>
      </w:r>
    </w:p>
    <w:sectPr w:rsidR="00EA7756">
      <w:headerReference w:type="even" r:id="rId9"/>
      <w:headerReference w:type="default" r:id="rId10"/>
      <w:footerReference w:type="default" r:id="rId11"/>
      <w:headerReference w:type="first" r:id="rId12"/>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7305" w14:textId="77777777" w:rsidR="00830382" w:rsidRDefault="00830382">
      <w:pPr>
        <w:spacing w:line="240" w:lineRule="auto"/>
      </w:pPr>
      <w:r>
        <w:separator/>
      </w:r>
    </w:p>
  </w:endnote>
  <w:endnote w:type="continuationSeparator" w:id="0">
    <w:p w14:paraId="5C92BB5B" w14:textId="77777777" w:rsidR="00830382" w:rsidRDefault="00830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2711" w14:textId="77777777" w:rsidR="00EA7756" w:rsidRDefault="00000000">
    <w:pPr>
      <w:pStyle w:val="a8"/>
      <w:jc w:val="center"/>
      <w:rPr>
        <w:b/>
        <w:color w:val="C0504D"/>
      </w:rPr>
    </w:pPr>
    <w:r>
      <w:rPr>
        <w:rFonts w:hint="eastAsia"/>
        <w:b/>
        <w:color w:val="C0504D"/>
      </w:rPr>
      <w:t>投资有风险，入市需谨慎。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0EA9" w14:textId="77777777" w:rsidR="00830382" w:rsidRDefault="00830382">
      <w:pPr>
        <w:spacing w:after="0"/>
      </w:pPr>
      <w:r>
        <w:separator/>
      </w:r>
    </w:p>
  </w:footnote>
  <w:footnote w:type="continuationSeparator" w:id="0">
    <w:p w14:paraId="3A096077" w14:textId="77777777" w:rsidR="00830382" w:rsidRDefault="00830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B318" w14:textId="77777777" w:rsidR="00EA7756" w:rsidRDefault="00000000">
    <w:pPr>
      <w:pStyle w:val="aa"/>
    </w:pPr>
    <w:r>
      <w:pict w14:anchorId="3EDD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7" o:spid="_x0000_s1027" type="#_x0000_t136" style="position:absolute;left:0;text-align:left;margin-left:0;margin-top:0;width:396pt;height:44pt;rotation:315;z-index:-251655168;mso-position-horizontal:center;mso-position-horizontal-relative:margin;mso-position-vertical:center;mso-position-vertical-relative:margin;mso-width-relative:page;mso-height-relative:page" o:allowincell="f" fillcolor="#87a8d0" stroked="f">
          <v:fill opacity=".5"/>
          <v:textpath style="font-family:&quot;仿宋&quot;;font-size:44pt" fitpath="t" string="冠通期货研究咨询部"/>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page" w:tblpX="1837" w:tblpY="423"/>
      <w:tblOverlap w:val="never"/>
      <w:tblW w:w="0" w:type="auto"/>
      <w:tblLayout w:type="fixed"/>
      <w:tblLook w:val="04A0" w:firstRow="1" w:lastRow="0" w:firstColumn="1" w:lastColumn="0" w:noHBand="0" w:noVBand="1"/>
    </w:tblPr>
    <w:tblGrid>
      <w:gridCol w:w="8522"/>
    </w:tblGrid>
    <w:tr w:rsidR="00EA7756" w14:paraId="139AD808" w14:textId="77777777">
      <w:tc>
        <w:tcPr>
          <w:tcW w:w="8522" w:type="dxa"/>
        </w:tcPr>
        <w:p w14:paraId="4D821CE2" w14:textId="77777777" w:rsidR="00EA7756" w:rsidRDefault="00000000">
          <w:pPr>
            <w:rPr>
              <w:sz w:val="28"/>
            </w:rPr>
          </w:pPr>
          <w:r>
            <w:rPr>
              <w:noProof/>
              <w:sz w:val="28"/>
            </w:rPr>
            <w:drawing>
              <wp:inline distT="0" distB="0" distL="0" distR="0" wp14:anchorId="5BB099A1" wp14:editId="2102AD9A">
                <wp:extent cx="2514600" cy="466725"/>
                <wp:effectExtent l="0" t="0" r="0" b="9525"/>
                <wp:docPr id="5" name="图片 5" descr="公司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全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14600" cy="466725"/>
                        </a:xfrm>
                        <a:prstGeom prst="rect">
                          <a:avLst/>
                        </a:prstGeom>
                        <a:noFill/>
                        <a:ln>
                          <a:noFill/>
                        </a:ln>
                      </pic:spPr>
                    </pic:pic>
                  </a:graphicData>
                </a:graphic>
              </wp:inline>
            </w:drawing>
          </w:r>
          <w:r>
            <w:rPr>
              <w:noProof/>
              <w:sz w:val="28"/>
            </w:rPr>
            <mc:AlternateContent>
              <mc:Choice Requires="wpg">
                <w:drawing>
                  <wp:anchor distT="0" distB="0" distL="114300" distR="114300" simplePos="0" relativeHeight="251659264" behindDoc="0" locked="0" layoutInCell="1" allowOverlap="1" wp14:anchorId="7ECAA6F0" wp14:editId="3F7335A8">
                    <wp:simplePos x="0" y="0"/>
                    <wp:positionH relativeFrom="column">
                      <wp:posOffset>2486025</wp:posOffset>
                    </wp:positionH>
                    <wp:positionV relativeFrom="paragraph">
                      <wp:posOffset>60325</wp:posOffset>
                    </wp:positionV>
                    <wp:extent cx="2867025" cy="424180"/>
                    <wp:effectExtent l="3810" t="4445" r="0" b="0"/>
                    <wp:wrapNone/>
                    <wp:docPr id="7" name="组合 7"/>
                    <wp:cNvGraphicFramePr/>
                    <a:graphic xmlns:a="http://schemas.openxmlformats.org/drawingml/2006/main">
                      <a:graphicData uri="http://schemas.microsoft.com/office/word/2010/wordprocessingGroup">
                        <wpg:wgp>
                          <wpg:cNvGrpSpPr/>
                          <wpg:grpSpPr>
                            <a:xfrm>
                              <a:off x="0" y="0"/>
                              <a:ext cx="2867025" cy="424180"/>
                              <a:chOff x="0" y="0"/>
                              <a:chExt cx="4515" cy="668"/>
                            </a:xfrm>
                          </wpg:grpSpPr>
                          <wps:wsp>
                            <wps:cNvPr id="2" name="Rectangle 3"/>
                            <wps:cNvSpPr>
                              <a:spLocks noChangeArrowheads="1"/>
                            </wps:cNvSpPr>
                            <wps:spPr bwMode="auto">
                              <a:xfrm>
                                <a:off x="150" y="525"/>
                                <a:ext cx="4365" cy="143"/>
                              </a:xfrm>
                              <a:prstGeom prst="rect">
                                <a:avLst/>
                              </a:prstGeom>
                              <a:gradFill rotWithShape="0">
                                <a:gsLst>
                                  <a:gs pos="0">
                                    <a:srgbClr val="4F81BD"/>
                                  </a:gs>
                                  <a:gs pos="100000">
                                    <a:srgbClr val="FFFFFF"/>
                                  </a:gs>
                                </a:gsLst>
                                <a:lin ang="0" scaled="1"/>
                              </a:gradFill>
                              <a:ln>
                                <a:noFill/>
                              </a:ln>
                            </wps:spPr>
                            <wps:bodyPr rot="0" vert="horz" wrap="square" lIns="91440" tIns="45720" rIns="91440" bIns="45720" anchor="t" anchorCtr="0" upright="1">
                              <a:noAutofit/>
                            </wps:bodyPr>
                          </wps:wsp>
                          <wps:wsp>
                            <wps:cNvPr id="9" name="Rectangle 4"/>
                            <wps:cNvSpPr>
                              <a:spLocks noChangeArrowheads="1"/>
                            </wps:cNvSpPr>
                            <wps:spPr bwMode="auto">
                              <a:xfrm>
                                <a:off x="0" y="0"/>
                                <a:ext cx="4290" cy="623"/>
                              </a:xfrm>
                              <a:prstGeom prst="rect">
                                <a:avLst/>
                              </a:prstGeom>
                              <a:solidFill>
                                <a:srgbClr val="FFFFFF">
                                  <a:alpha val="0"/>
                                </a:srgbClr>
                              </a:solidFill>
                              <a:ln>
                                <a:noFill/>
                              </a:ln>
                            </wps:spPr>
                            <wps:txbx>
                              <w:txbxContent>
                                <w:p w14:paraId="3CBC55DD" w14:textId="77777777" w:rsidR="00EA7756" w:rsidRDefault="00000000">
                                  <w:pPr>
                                    <w:spacing w:after="0" w:line="200" w:lineRule="exact"/>
                                    <w:rPr>
                                      <w:rFonts w:ascii="楷体_GB2312" w:eastAsia="楷体_GB2312"/>
                                      <w:sz w:val="13"/>
                                      <w:szCs w:val="13"/>
                                    </w:rPr>
                                  </w:pPr>
                                  <w:r>
                                    <w:rPr>
                                      <w:rFonts w:ascii="楷体_GB2312" w:eastAsia="楷体_GB2312" w:hint="eastAsia"/>
                                      <w:sz w:val="13"/>
                                      <w:szCs w:val="13"/>
                                    </w:rPr>
                                    <w:t>地址：北京市朝阳区朝阳门外大街甲6号万通中心D座20层（100020）</w:t>
                                  </w:r>
                                </w:p>
                                <w:p w14:paraId="2036D60E" w14:textId="77777777" w:rsidR="00EA7756" w:rsidRDefault="00000000">
                                  <w:pPr>
                                    <w:spacing w:after="0" w:line="200" w:lineRule="exact"/>
                                    <w:rPr>
                                      <w:rFonts w:ascii="楷体_GB2312" w:eastAsia="楷体_GB2312"/>
                                      <w:sz w:val="13"/>
                                      <w:szCs w:val="13"/>
                                    </w:rPr>
                                  </w:pPr>
                                  <w:r>
                                    <w:rPr>
                                      <w:rFonts w:ascii="楷体_GB2312" w:eastAsia="楷体_GB2312" w:hint="eastAsia"/>
                                      <w:sz w:val="13"/>
                                      <w:szCs w:val="13"/>
                                    </w:rPr>
                                    <w:t>总机：010-8535 6666</w:t>
                                  </w:r>
                                </w:p>
                              </w:txbxContent>
                            </wps:txbx>
                            <wps:bodyPr rot="0" vert="horz" wrap="square" lIns="91440" tIns="45720" rIns="91440" bIns="45720" anchor="t" anchorCtr="0" upright="1">
                              <a:noAutofit/>
                            </wps:bodyPr>
                          </wps:wsp>
                        </wpg:wgp>
                      </a:graphicData>
                    </a:graphic>
                  </wp:anchor>
                </w:drawing>
              </mc:Choice>
              <mc:Fallback>
                <w:pict>
                  <v:group w14:anchorId="7ECAA6F0" id="组合 7" o:spid="_x0000_s1026" style="position:absolute;left:0;text-align:left;margin-left:195.75pt;margin-top:4.75pt;width:225.75pt;height:33.4pt;z-index:251659264" coordsize="45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">
                    <v:rect id="Rectangle 3" o:spid="_x0000_s1027" style="position:absolute;left:150;top:525;width:43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" fillcolor="#4f81bd" stroked="f">
                      <v:fill angle="90" focus="100%" type="gradient"/>
                    </v:rect>
                    <v:rect id="Rectangle 4" o:spid="_x0000_s1028" style="position:absolute;width:429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" stroked="f">
                      <v:fill opacity="0"/>
                      <v:textbox>
                        <w:txbxContent>
                          <w:p w14:paraId="3CBC55DD" w14:textId="77777777" w:rsidR="00EA7756" w:rsidRDefault="00000000">
                            <w:pPr>
                              <w:spacing w:after="0" w:line="200" w:lineRule="exact"/>
                              <w:rPr>
                                <w:rFonts w:ascii="楷体_GB2312" w:eastAsia="楷体_GB2312"/>
                                <w:sz w:val="13"/>
                                <w:szCs w:val="13"/>
                              </w:rPr>
                            </w:pPr>
                            <w:r>
                              <w:rPr>
                                <w:rFonts w:ascii="楷体_GB2312" w:eastAsia="楷体_GB2312" w:hint="eastAsia"/>
                                <w:sz w:val="13"/>
                                <w:szCs w:val="13"/>
                              </w:rPr>
                              <w:t>地址：北京市朝阳区朝阳门外大街甲6号万通中心D座20层（100020）</w:t>
                            </w:r>
                          </w:p>
                          <w:p w14:paraId="2036D60E" w14:textId="77777777" w:rsidR="00EA7756" w:rsidRDefault="00000000">
                            <w:pPr>
                              <w:spacing w:after="0" w:line="200" w:lineRule="exact"/>
                              <w:rPr>
                                <w:rFonts w:ascii="楷体_GB2312" w:eastAsia="楷体_GB2312"/>
                                <w:sz w:val="13"/>
                                <w:szCs w:val="13"/>
                              </w:rPr>
                            </w:pPr>
                            <w:r>
                              <w:rPr>
                                <w:rFonts w:ascii="楷体_GB2312" w:eastAsia="楷体_GB2312" w:hint="eastAsia"/>
                                <w:sz w:val="13"/>
                                <w:szCs w:val="13"/>
                              </w:rPr>
                              <w:t>总机：010-8535 6666</w:t>
                            </w:r>
                          </w:p>
                        </w:txbxContent>
                      </v:textbox>
                    </v:rect>
                  </v:group>
                </w:pict>
              </mc:Fallback>
            </mc:AlternateContent>
          </w:r>
        </w:p>
      </w:tc>
    </w:tr>
  </w:tbl>
  <w:p w14:paraId="365E5AC9" w14:textId="77777777" w:rsidR="00EA7756" w:rsidRDefault="00000000">
    <w:pPr>
      <w:pStyle w:val="aa"/>
      <w:jc w:val="left"/>
      <w:rPr>
        <w:b/>
        <w:i/>
        <w:color w:val="C0504D"/>
      </w:rPr>
    </w:pPr>
    <w:r>
      <w:pict w14:anchorId="41DE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8" o:spid="_x0000_s1026" type="#_x0000_t136" style="position:absolute;margin-left:0;margin-top:0;width:396pt;height:44pt;rotation:315;z-index:-251654144;mso-position-horizontal:center;mso-position-horizontal-relative:margin;mso-position-vertical:center;mso-position-vertical-relative:margin;mso-width-relative:page;mso-height-relative:page" o:allowincell="f" fillcolor="#87a8d0" stroked="f">
          <v:fill opacity=".5"/>
          <v:textpath style="font-family:&quot;仿宋&quot;;font-size:44pt" fitpath="t" string="冠通期货研究咨询部"/>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68FE" w14:textId="77777777" w:rsidR="00EA7756" w:rsidRDefault="00000000">
    <w:pPr>
      <w:pStyle w:val="aa"/>
    </w:pPr>
    <w:r>
      <w:pict w14:anchorId="056C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081406" o:spid="_x0000_s1025" type="#_x0000_t136" style="position:absolute;left:0;text-align:left;margin-left:0;margin-top:0;width:396pt;height:44pt;rotation:315;z-index:-251656192;mso-position-horizontal:center;mso-position-horizontal-relative:margin;mso-position-vertical:center;mso-position-vertical-relative:margin;mso-width-relative:page;mso-height-relative:page" o:allowincell="f" fillcolor="#87a8d0" stroked="f">
          <v:fill opacity=".5"/>
          <v:textpath style="font-family:&quot;仿宋&quot;;font-size:44pt" fitpath="t" string="冠通期货研究咨询部"/>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1MmJjYjc5OGJmYTVlYjFmZDQzZDA3YzBmN2Y4MTAifQ=="/>
  </w:docVars>
  <w:rsids>
    <w:rsidRoot w:val="00926C0A"/>
    <w:rsid w:val="B3B95CC5"/>
    <w:rsid w:val="DBBDEE77"/>
    <w:rsid w:val="DE7D679D"/>
    <w:rsid w:val="EFEF0C88"/>
    <w:rsid w:val="FFD3A2C4"/>
    <w:rsid w:val="0000073D"/>
    <w:rsid w:val="00000AE6"/>
    <w:rsid w:val="00002D3A"/>
    <w:rsid w:val="000047F1"/>
    <w:rsid w:val="000060FF"/>
    <w:rsid w:val="0000661B"/>
    <w:rsid w:val="00010A1F"/>
    <w:rsid w:val="00010DBE"/>
    <w:rsid w:val="000110A0"/>
    <w:rsid w:val="00011626"/>
    <w:rsid w:val="00012D40"/>
    <w:rsid w:val="00013004"/>
    <w:rsid w:val="0001343A"/>
    <w:rsid w:val="00013E7F"/>
    <w:rsid w:val="00014A1F"/>
    <w:rsid w:val="00014CA0"/>
    <w:rsid w:val="0001766E"/>
    <w:rsid w:val="00017858"/>
    <w:rsid w:val="00017DCA"/>
    <w:rsid w:val="00017F58"/>
    <w:rsid w:val="00021662"/>
    <w:rsid w:val="00022C25"/>
    <w:rsid w:val="00023003"/>
    <w:rsid w:val="000234D9"/>
    <w:rsid w:val="000234F1"/>
    <w:rsid w:val="00023D89"/>
    <w:rsid w:val="000245B6"/>
    <w:rsid w:val="00025664"/>
    <w:rsid w:val="00025755"/>
    <w:rsid w:val="00025AFA"/>
    <w:rsid w:val="00025CF5"/>
    <w:rsid w:val="00027E5E"/>
    <w:rsid w:val="00030DB4"/>
    <w:rsid w:val="00031243"/>
    <w:rsid w:val="000314CD"/>
    <w:rsid w:val="00031C9B"/>
    <w:rsid w:val="000322E0"/>
    <w:rsid w:val="0003273C"/>
    <w:rsid w:val="00032C63"/>
    <w:rsid w:val="00032E93"/>
    <w:rsid w:val="0003386F"/>
    <w:rsid w:val="00033E41"/>
    <w:rsid w:val="0003407D"/>
    <w:rsid w:val="000341A2"/>
    <w:rsid w:val="000342AD"/>
    <w:rsid w:val="0003484E"/>
    <w:rsid w:val="0003508C"/>
    <w:rsid w:val="00035119"/>
    <w:rsid w:val="0003597A"/>
    <w:rsid w:val="00035D61"/>
    <w:rsid w:val="0003697E"/>
    <w:rsid w:val="00040A6F"/>
    <w:rsid w:val="00041A1F"/>
    <w:rsid w:val="00041DF6"/>
    <w:rsid w:val="00041FCF"/>
    <w:rsid w:val="000428AC"/>
    <w:rsid w:val="00042D8A"/>
    <w:rsid w:val="000433D6"/>
    <w:rsid w:val="00043E7F"/>
    <w:rsid w:val="00044147"/>
    <w:rsid w:val="000442DE"/>
    <w:rsid w:val="00044BFF"/>
    <w:rsid w:val="00044FA6"/>
    <w:rsid w:val="000453F5"/>
    <w:rsid w:val="00045573"/>
    <w:rsid w:val="00045C18"/>
    <w:rsid w:val="00046337"/>
    <w:rsid w:val="000476E7"/>
    <w:rsid w:val="00047907"/>
    <w:rsid w:val="00050AA1"/>
    <w:rsid w:val="00051AF7"/>
    <w:rsid w:val="000523C4"/>
    <w:rsid w:val="000529D6"/>
    <w:rsid w:val="00052A2C"/>
    <w:rsid w:val="00053853"/>
    <w:rsid w:val="000538DA"/>
    <w:rsid w:val="00054152"/>
    <w:rsid w:val="000555F3"/>
    <w:rsid w:val="00056E89"/>
    <w:rsid w:val="000578D1"/>
    <w:rsid w:val="00061141"/>
    <w:rsid w:val="00061184"/>
    <w:rsid w:val="00062EE2"/>
    <w:rsid w:val="000638EE"/>
    <w:rsid w:val="00063EB1"/>
    <w:rsid w:val="00064228"/>
    <w:rsid w:val="00064F25"/>
    <w:rsid w:val="00065D87"/>
    <w:rsid w:val="000674BB"/>
    <w:rsid w:val="00067B6F"/>
    <w:rsid w:val="00067F53"/>
    <w:rsid w:val="00071CC6"/>
    <w:rsid w:val="0007249A"/>
    <w:rsid w:val="0007257A"/>
    <w:rsid w:val="00072971"/>
    <w:rsid w:val="00072B10"/>
    <w:rsid w:val="00073D87"/>
    <w:rsid w:val="00073E83"/>
    <w:rsid w:val="00077A8A"/>
    <w:rsid w:val="000809CC"/>
    <w:rsid w:val="00081BE1"/>
    <w:rsid w:val="000828C2"/>
    <w:rsid w:val="00084861"/>
    <w:rsid w:val="00085028"/>
    <w:rsid w:val="00085DFA"/>
    <w:rsid w:val="0008637F"/>
    <w:rsid w:val="000867FB"/>
    <w:rsid w:val="0008697B"/>
    <w:rsid w:val="00090247"/>
    <w:rsid w:val="000911A9"/>
    <w:rsid w:val="000917A5"/>
    <w:rsid w:val="00091DB5"/>
    <w:rsid w:val="00092E3C"/>
    <w:rsid w:val="00093863"/>
    <w:rsid w:val="00094021"/>
    <w:rsid w:val="00094616"/>
    <w:rsid w:val="000951F2"/>
    <w:rsid w:val="000964AE"/>
    <w:rsid w:val="000A0C5D"/>
    <w:rsid w:val="000A18D5"/>
    <w:rsid w:val="000A1FCF"/>
    <w:rsid w:val="000A242E"/>
    <w:rsid w:val="000A2A46"/>
    <w:rsid w:val="000A3BE6"/>
    <w:rsid w:val="000A55F4"/>
    <w:rsid w:val="000A6485"/>
    <w:rsid w:val="000A73F7"/>
    <w:rsid w:val="000A7F6D"/>
    <w:rsid w:val="000B041A"/>
    <w:rsid w:val="000B0EAD"/>
    <w:rsid w:val="000B0ED5"/>
    <w:rsid w:val="000B12D8"/>
    <w:rsid w:val="000B1704"/>
    <w:rsid w:val="000B19B7"/>
    <w:rsid w:val="000B215C"/>
    <w:rsid w:val="000B23D5"/>
    <w:rsid w:val="000B2410"/>
    <w:rsid w:val="000B3065"/>
    <w:rsid w:val="000B3975"/>
    <w:rsid w:val="000B3C68"/>
    <w:rsid w:val="000B4823"/>
    <w:rsid w:val="000C0B35"/>
    <w:rsid w:val="000C1DED"/>
    <w:rsid w:val="000C47F5"/>
    <w:rsid w:val="000C602C"/>
    <w:rsid w:val="000C61E8"/>
    <w:rsid w:val="000C64C1"/>
    <w:rsid w:val="000C6564"/>
    <w:rsid w:val="000C7C22"/>
    <w:rsid w:val="000C7D32"/>
    <w:rsid w:val="000C7EC4"/>
    <w:rsid w:val="000D0545"/>
    <w:rsid w:val="000D106A"/>
    <w:rsid w:val="000D178E"/>
    <w:rsid w:val="000D1F6F"/>
    <w:rsid w:val="000D2185"/>
    <w:rsid w:val="000D3C69"/>
    <w:rsid w:val="000D3E08"/>
    <w:rsid w:val="000D4CC9"/>
    <w:rsid w:val="000D51E5"/>
    <w:rsid w:val="000D5AF5"/>
    <w:rsid w:val="000D5EAD"/>
    <w:rsid w:val="000D6C9A"/>
    <w:rsid w:val="000D7197"/>
    <w:rsid w:val="000D750A"/>
    <w:rsid w:val="000D792D"/>
    <w:rsid w:val="000D7DA5"/>
    <w:rsid w:val="000E07F1"/>
    <w:rsid w:val="000E13EF"/>
    <w:rsid w:val="000E3219"/>
    <w:rsid w:val="000E3768"/>
    <w:rsid w:val="000E3961"/>
    <w:rsid w:val="000E4E4B"/>
    <w:rsid w:val="000E566F"/>
    <w:rsid w:val="000E593F"/>
    <w:rsid w:val="000E6A4B"/>
    <w:rsid w:val="000E6F43"/>
    <w:rsid w:val="000E725A"/>
    <w:rsid w:val="000F0743"/>
    <w:rsid w:val="000F17BB"/>
    <w:rsid w:val="000F3237"/>
    <w:rsid w:val="000F3A27"/>
    <w:rsid w:val="000F7231"/>
    <w:rsid w:val="000F7E09"/>
    <w:rsid w:val="0010012A"/>
    <w:rsid w:val="001002F1"/>
    <w:rsid w:val="001009C8"/>
    <w:rsid w:val="00101191"/>
    <w:rsid w:val="00103206"/>
    <w:rsid w:val="001033EB"/>
    <w:rsid w:val="00105724"/>
    <w:rsid w:val="00106045"/>
    <w:rsid w:val="00106836"/>
    <w:rsid w:val="00107DAB"/>
    <w:rsid w:val="00110BC5"/>
    <w:rsid w:val="001134EB"/>
    <w:rsid w:val="00114947"/>
    <w:rsid w:val="001149C6"/>
    <w:rsid w:val="00114FD8"/>
    <w:rsid w:val="00115DA8"/>
    <w:rsid w:val="00116FBB"/>
    <w:rsid w:val="00117EE4"/>
    <w:rsid w:val="00120E1D"/>
    <w:rsid w:val="0012213C"/>
    <w:rsid w:val="00123A16"/>
    <w:rsid w:val="00124ADC"/>
    <w:rsid w:val="00125856"/>
    <w:rsid w:val="00125B76"/>
    <w:rsid w:val="00126AE8"/>
    <w:rsid w:val="00127629"/>
    <w:rsid w:val="00127E33"/>
    <w:rsid w:val="00130AF7"/>
    <w:rsid w:val="0013295A"/>
    <w:rsid w:val="00132A5A"/>
    <w:rsid w:val="0013358B"/>
    <w:rsid w:val="00134124"/>
    <w:rsid w:val="0013436F"/>
    <w:rsid w:val="001354A4"/>
    <w:rsid w:val="00136A55"/>
    <w:rsid w:val="00136B49"/>
    <w:rsid w:val="001373AF"/>
    <w:rsid w:val="00137595"/>
    <w:rsid w:val="00141739"/>
    <w:rsid w:val="00141BEB"/>
    <w:rsid w:val="0014216C"/>
    <w:rsid w:val="0014352D"/>
    <w:rsid w:val="001435B1"/>
    <w:rsid w:val="00143D44"/>
    <w:rsid w:val="00144462"/>
    <w:rsid w:val="0014474A"/>
    <w:rsid w:val="00144F91"/>
    <w:rsid w:val="0014586C"/>
    <w:rsid w:val="001458C1"/>
    <w:rsid w:val="0014738D"/>
    <w:rsid w:val="00151039"/>
    <w:rsid w:val="00151B3A"/>
    <w:rsid w:val="00151D7B"/>
    <w:rsid w:val="001520CA"/>
    <w:rsid w:val="0015354C"/>
    <w:rsid w:val="0015390C"/>
    <w:rsid w:val="0015391A"/>
    <w:rsid w:val="00153ABE"/>
    <w:rsid w:val="00153FA8"/>
    <w:rsid w:val="00154664"/>
    <w:rsid w:val="00155A5F"/>
    <w:rsid w:val="00155B5D"/>
    <w:rsid w:val="00156C11"/>
    <w:rsid w:val="00156EC1"/>
    <w:rsid w:val="00156FAB"/>
    <w:rsid w:val="00157B23"/>
    <w:rsid w:val="00160E6E"/>
    <w:rsid w:val="00160F76"/>
    <w:rsid w:val="00161557"/>
    <w:rsid w:val="00161703"/>
    <w:rsid w:val="00161AB2"/>
    <w:rsid w:val="00164385"/>
    <w:rsid w:val="001661AC"/>
    <w:rsid w:val="001665C4"/>
    <w:rsid w:val="00166A68"/>
    <w:rsid w:val="00166D9D"/>
    <w:rsid w:val="00167861"/>
    <w:rsid w:val="00167987"/>
    <w:rsid w:val="00167A12"/>
    <w:rsid w:val="00170402"/>
    <w:rsid w:val="00171039"/>
    <w:rsid w:val="00171A6F"/>
    <w:rsid w:val="00171B3F"/>
    <w:rsid w:val="001720E7"/>
    <w:rsid w:val="00173872"/>
    <w:rsid w:val="00174509"/>
    <w:rsid w:val="00176E0A"/>
    <w:rsid w:val="00177811"/>
    <w:rsid w:val="00177A6E"/>
    <w:rsid w:val="00177BB1"/>
    <w:rsid w:val="00177C9E"/>
    <w:rsid w:val="0018000A"/>
    <w:rsid w:val="001818B1"/>
    <w:rsid w:val="00183418"/>
    <w:rsid w:val="001841A0"/>
    <w:rsid w:val="001868AE"/>
    <w:rsid w:val="00186C5A"/>
    <w:rsid w:val="0018735A"/>
    <w:rsid w:val="00190F0C"/>
    <w:rsid w:val="001911DA"/>
    <w:rsid w:val="001912F1"/>
    <w:rsid w:val="0019134E"/>
    <w:rsid w:val="00192D70"/>
    <w:rsid w:val="00193487"/>
    <w:rsid w:val="00193516"/>
    <w:rsid w:val="00193FF7"/>
    <w:rsid w:val="00194544"/>
    <w:rsid w:val="00194D04"/>
    <w:rsid w:val="00195C0E"/>
    <w:rsid w:val="001961EC"/>
    <w:rsid w:val="001970E9"/>
    <w:rsid w:val="00197B69"/>
    <w:rsid w:val="001A1999"/>
    <w:rsid w:val="001A1D2B"/>
    <w:rsid w:val="001A23B4"/>
    <w:rsid w:val="001A588A"/>
    <w:rsid w:val="001A6D23"/>
    <w:rsid w:val="001A6FA9"/>
    <w:rsid w:val="001B0986"/>
    <w:rsid w:val="001B0B02"/>
    <w:rsid w:val="001B16C0"/>
    <w:rsid w:val="001B20A2"/>
    <w:rsid w:val="001B2362"/>
    <w:rsid w:val="001B2921"/>
    <w:rsid w:val="001B4960"/>
    <w:rsid w:val="001B61C1"/>
    <w:rsid w:val="001B6A94"/>
    <w:rsid w:val="001B6FDB"/>
    <w:rsid w:val="001C0138"/>
    <w:rsid w:val="001C0722"/>
    <w:rsid w:val="001C0EED"/>
    <w:rsid w:val="001C0F81"/>
    <w:rsid w:val="001C1567"/>
    <w:rsid w:val="001C2006"/>
    <w:rsid w:val="001C241A"/>
    <w:rsid w:val="001C2E9F"/>
    <w:rsid w:val="001C3080"/>
    <w:rsid w:val="001C52B9"/>
    <w:rsid w:val="001C5852"/>
    <w:rsid w:val="001C76BA"/>
    <w:rsid w:val="001D25D7"/>
    <w:rsid w:val="001D2C31"/>
    <w:rsid w:val="001D5221"/>
    <w:rsid w:val="001E00AE"/>
    <w:rsid w:val="001E0C3E"/>
    <w:rsid w:val="001E0D6B"/>
    <w:rsid w:val="001E104A"/>
    <w:rsid w:val="001E1205"/>
    <w:rsid w:val="001E1BFD"/>
    <w:rsid w:val="001E2785"/>
    <w:rsid w:val="001E38C6"/>
    <w:rsid w:val="001E3F9A"/>
    <w:rsid w:val="001E4116"/>
    <w:rsid w:val="001E43B9"/>
    <w:rsid w:val="001E462E"/>
    <w:rsid w:val="001E4CE1"/>
    <w:rsid w:val="001E5014"/>
    <w:rsid w:val="001E5A65"/>
    <w:rsid w:val="001E5C0E"/>
    <w:rsid w:val="001E5DC3"/>
    <w:rsid w:val="001E6B4E"/>
    <w:rsid w:val="001F0394"/>
    <w:rsid w:val="001F03B5"/>
    <w:rsid w:val="001F3753"/>
    <w:rsid w:val="001F451E"/>
    <w:rsid w:val="001F4A8D"/>
    <w:rsid w:val="001F5665"/>
    <w:rsid w:val="001F642D"/>
    <w:rsid w:val="001F6CCE"/>
    <w:rsid w:val="001F71AC"/>
    <w:rsid w:val="001F7981"/>
    <w:rsid w:val="00200591"/>
    <w:rsid w:val="0020065E"/>
    <w:rsid w:val="0020140F"/>
    <w:rsid w:val="00202DA5"/>
    <w:rsid w:val="00203004"/>
    <w:rsid w:val="002031A0"/>
    <w:rsid w:val="002034B9"/>
    <w:rsid w:val="00203E6F"/>
    <w:rsid w:val="00205409"/>
    <w:rsid w:val="0020599A"/>
    <w:rsid w:val="00207007"/>
    <w:rsid w:val="00207227"/>
    <w:rsid w:val="00211366"/>
    <w:rsid w:val="00211A3B"/>
    <w:rsid w:val="0021485A"/>
    <w:rsid w:val="00214875"/>
    <w:rsid w:val="0021552E"/>
    <w:rsid w:val="00215A1B"/>
    <w:rsid w:val="00216116"/>
    <w:rsid w:val="00216396"/>
    <w:rsid w:val="00216B49"/>
    <w:rsid w:val="00217209"/>
    <w:rsid w:val="002177DD"/>
    <w:rsid w:val="00217BAF"/>
    <w:rsid w:val="00217C70"/>
    <w:rsid w:val="00220388"/>
    <w:rsid w:val="002203AF"/>
    <w:rsid w:val="002208FB"/>
    <w:rsid w:val="00220EBD"/>
    <w:rsid w:val="00221514"/>
    <w:rsid w:val="00221B9A"/>
    <w:rsid w:val="00221D61"/>
    <w:rsid w:val="00223B36"/>
    <w:rsid w:val="00225341"/>
    <w:rsid w:val="002254F3"/>
    <w:rsid w:val="00225947"/>
    <w:rsid w:val="00225ED8"/>
    <w:rsid w:val="00227471"/>
    <w:rsid w:val="00227F01"/>
    <w:rsid w:val="00230C9B"/>
    <w:rsid w:val="00234A35"/>
    <w:rsid w:val="0024301F"/>
    <w:rsid w:val="00243755"/>
    <w:rsid w:val="00243A4C"/>
    <w:rsid w:val="002445FE"/>
    <w:rsid w:val="00246965"/>
    <w:rsid w:val="00247C15"/>
    <w:rsid w:val="0025065A"/>
    <w:rsid w:val="00250696"/>
    <w:rsid w:val="0025248D"/>
    <w:rsid w:val="00252B8C"/>
    <w:rsid w:val="00253B93"/>
    <w:rsid w:val="00253D21"/>
    <w:rsid w:val="00254264"/>
    <w:rsid w:val="002542C2"/>
    <w:rsid w:val="002547D4"/>
    <w:rsid w:val="00254B5A"/>
    <w:rsid w:val="00254F61"/>
    <w:rsid w:val="00255276"/>
    <w:rsid w:val="0025566D"/>
    <w:rsid w:val="002558A4"/>
    <w:rsid w:val="00256141"/>
    <w:rsid w:val="0025695E"/>
    <w:rsid w:val="002570B7"/>
    <w:rsid w:val="00257A51"/>
    <w:rsid w:val="002602C2"/>
    <w:rsid w:val="0026050E"/>
    <w:rsid w:val="0026065C"/>
    <w:rsid w:val="00261102"/>
    <w:rsid w:val="00261820"/>
    <w:rsid w:val="00262FB1"/>
    <w:rsid w:val="00263D3D"/>
    <w:rsid w:val="0026475E"/>
    <w:rsid w:val="002651E9"/>
    <w:rsid w:val="00265953"/>
    <w:rsid w:val="002660E9"/>
    <w:rsid w:val="00267B1F"/>
    <w:rsid w:val="00271BEE"/>
    <w:rsid w:val="00272A3A"/>
    <w:rsid w:val="0027326E"/>
    <w:rsid w:val="00273F17"/>
    <w:rsid w:val="00274F44"/>
    <w:rsid w:val="0027654D"/>
    <w:rsid w:val="00277199"/>
    <w:rsid w:val="002774BB"/>
    <w:rsid w:val="00277D00"/>
    <w:rsid w:val="00280EB2"/>
    <w:rsid w:val="002823FB"/>
    <w:rsid w:val="00283BAC"/>
    <w:rsid w:val="00284266"/>
    <w:rsid w:val="0028431D"/>
    <w:rsid w:val="002845B7"/>
    <w:rsid w:val="002847B7"/>
    <w:rsid w:val="00284AA4"/>
    <w:rsid w:val="002853BD"/>
    <w:rsid w:val="0028576A"/>
    <w:rsid w:val="00287468"/>
    <w:rsid w:val="00291948"/>
    <w:rsid w:val="0029197E"/>
    <w:rsid w:val="002922FC"/>
    <w:rsid w:val="00293F35"/>
    <w:rsid w:val="00294C24"/>
    <w:rsid w:val="00294CEE"/>
    <w:rsid w:val="00295650"/>
    <w:rsid w:val="0029682D"/>
    <w:rsid w:val="002972BB"/>
    <w:rsid w:val="002A06D0"/>
    <w:rsid w:val="002A20E5"/>
    <w:rsid w:val="002A2E3B"/>
    <w:rsid w:val="002A382E"/>
    <w:rsid w:val="002A3D3D"/>
    <w:rsid w:val="002A4FBF"/>
    <w:rsid w:val="002A6045"/>
    <w:rsid w:val="002A64DC"/>
    <w:rsid w:val="002A754C"/>
    <w:rsid w:val="002A781F"/>
    <w:rsid w:val="002A7BEE"/>
    <w:rsid w:val="002B090F"/>
    <w:rsid w:val="002B0AED"/>
    <w:rsid w:val="002B2CDC"/>
    <w:rsid w:val="002B2F57"/>
    <w:rsid w:val="002B3121"/>
    <w:rsid w:val="002B4774"/>
    <w:rsid w:val="002B4B93"/>
    <w:rsid w:val="002B5C7A"/>
    <w:rsid w:val="002B7577"/>
    <w:rsid w:val="002B76F6"/>
    <w:rsid w:val="002B7CC1"/>
    <w:rsid w:val="002B7D1D"/>
    <w:rsid w:val="002C0B30"/>
    <w:rsid w:val="002C0D6A"/>
    <w:rsid w:val="002C2F8F"/>
    <w:rsid w:val="002C35A8"/>
    <w:rsid w:val="002C3802"/>
    <w:rsid w:val="002C3D81"/>
    <w:rsid w:val="002C4B41"/>
    <w:rsid w:val="002C4D03"/>
    <w:rsid w:val="002C513A"/>
    <w:rsid w:val="002C55BC"/>
    <w:rsid w:val="002C5E34"/>
    <w:rsid w:val="002C6D33"/>
    <w:rsid w:val="002C7C53"/>
    <w:rsid w:val="002D0138"/>
    <w:rsid w:val="002D1141"/>
    <w:rsid w:val="002D3D5C"/>
    <w:rsid w:val="002D3F99"/>
    <w:rsid w:val="002D438E"/>
    <w:rsid w:val="002D4D61"/>
    <w:rsid w:val="002D5B62"/>
    <w:rsid w:val="002D5D38"/>
    <w:rsid w:val="002D614D"/>
    <w:rsid w:val="002D64CC"/>
    <w:rsid w:val="002E077D"/>
    <w:rsid w:val="002E08E2"/>
    <w:rsid w:val="002E0996"/>
    <w:rsid w:val="002E0EE7"/>
    <w:rsid w:val="002E173C"/>
    <w:rsid w:val="002E1B29"/>
    <w:rsid w:val="002E247B"/>
    <w:rsid w:val="002E2551"/>
    <w:rsid w:val="002E29F3"/>
    <w:rsid w:val="002E337B"/>
    <w:rsid w:val="002E35E4"/>
    <w:rsid w:val="002E37CF"/>
    <w:rsid w:val="002E45E5"/>
    <w:rsid w:val="002E4FE9"/>
    <w:rsid w:val="002E5642"/>
    <w:rsid w:val="002E6DCB"/>
    <w:rsid w:val="002E6E50"/>
    <w:rsid w:val="002E7D88"/>
    <w:rsid w:val="002F00C0"/>
    <w:rsid w:val="002F12A1"/>
    <w:rsid w:val="002F28BC"/>
    <w:rsid w:val="002F3338"/>
    <w:rsid w:val="002F3571"/>
    <w:rsid w:val="002F3986"/>
    <w:rsid w:val="002F4A52"/>
    <w:rsid w:val="002F4A7E"/>
    <w:rsid w:val="002F5550"/>
    <w:rsid w:val="002F5695"/>
    <w:rsid w:val="002F66B0"/>
    <w:rsid w:val="002F6755"/>
    <w:rsid w:val="002F6EB9"/>
    <w:rsid w:val="002F7B51"/>
    <w:rsid w:val="003002D4"/>
    <w:rsid w:val="00301B57"/>
    <w:rsid w:val="00301DC6"/>
    <w:rsid w:val="003020B5"/>
    <w:rsid w:val="003022F4"/>
    <w:rsid w:val="00302A77"/>
    <w:rsid w:val="00302D35"/>
    <w:rsid w:val="00306C44"/>
    <w:rsid w:val="003078F3"/>
    <w:rsid w:val="00307A70"/>
    <w:rsid w:val="003105C0"/>
    <w:rsid w:val="00311894"/>
    <w:rsid w:val="00311B86"/>
    <w:rsid w:val="00313957"/>
    <w:rsid w:val="00314D6C"/>
    <w:rsid w:val="00316080"/>
    <w:rsid w:val="003175DC"/>
    <w:rsid w:val="00320049"/>
    <w:rsid w:val="00321140"/>
    <w:rsid w:val="00321920"/>
    <w:rsid w:val="00323194"/>
    <w:rsid w:val="00323F4F"/>
    <w:rsid w:val="00325489"/>
    <w:rsid w:val="00325AAC"/>
    <w:rsid w:val="00326518"/>
    <w:rsid w:val="00326DF4"/>
    <w:rsid w:val="003300C3"/>
    <w:rsid w:val="00330207"/>
    <w:rsid w:val="00333316"/>
    <w:rsid w:val="003342E3"/>
    <w:rsid w:val="00334870"/>
    <w:rsid w:val="00335736"/>
    <w:rsid w:val="00335897"/>
    <w:rsid w:val="00335B10"/>
    <w:rsid w:val="00335BF1"/>
    <w:rsid w:val="00335F07"/>
    <w:rsid w:val="0033640C"/>
    <w:rsid w:val="00336F5D"/>
    <w:rsid w:val="00343BB7"/>
    <w:rsid w:val="003441A7"/>
    <w:rsid w:val="00344C7B"/>
    <w:rsid w:val="00345552"/>
    <w:rsid w:val="00345DF3"/>
    <w:rsid w:val="00346544"/>
    <w:rsid w:val="003474AB"/>
    <w:rsid w:val="00347827"/>
    <w:rsid w:val="00347E51"/>
    <w:rsid w:val="00350759"/>
    <w:rsid w:val="00351B44"/>
    <w:rsid w:val="00352CDF"/>
    <w:rsid w:val="00353532"/>
    <w:rsid w:val="003541B6"/>
    <w:rsid w:val="0035484D"/>
    <w:rsid w:val="00356091"/>
    <w:rsid w:val="00356D01"/>
    <w:rsid w:val="00357C74"/>
    <w:rsid w:val="003609F2"/>
    <w:rsid w:val="0036105C"/>
    <w:rsid w:val="00361573"/>
    <w:rsid w:val="00361783"/>
    <w:rsid w:val="00362EE6"/>
    <w:rsid w:val="003630F8"/>
    <w:rsid w:val="003631A4"/>
    <w:rsid w:val="00364B2C"/>
    <w:rsid w:val="003651DD"/>
    <w:rsid w:val="0036584E"/>
    <w:rsid w:val="00367085"/>
    <w:rsid w:val="00367450"/>
    <w:rsid w:val="00367566"/>
    <w:rsid w:val="0036778F"/>
    <w:rsid w:val="00367AD7"/>
    <w:rsid w:val="00367DD2"/>
    <w:rsid w:val="0037075A"/>
    <w:rsid w:val="00370B54"/>
    <w:rsid w:val="00371042"/>
    <w:rsid w:val="00372E40"/>
    <w:rsid w:val="00373498"/>
    <w:rsid w:val="00374B8F"/>
    <w:rsid w:val="003758F4"/>
    <w:rsid w:val="0038068F"/>
    <w:rsid w:val="00380761"/>
    <w:rsid w:val="0038079E"/>
    <w:rsid w:val="003816D4"/>
    <w:rsid w:val="003837FF"/>
    <w:rsid w:val="003844EA"/>
    <w:rsid w:val="0038461F"/>
    <w:rsid w:val="00384643"/>
    <w:rsid w:val="0038651E"/>
    <w:rsid w:val="00386AFA"/>
    <w:rsid w:val="00386DAD"/>
    <w:rsid w:val="0039008E"/>
    <w:rsid w:val="00390244"/>
    <w:rsid w:val="003923CE"/>
    <w:rsid w:val="003926E5"/>
    <w:rsid w:val="00393207"/>
    <w:rsid w:val="0039370B"/>
    <w:rsid w:val="00393CB4"/>
    <w:rsid w:val="0039463F"/>
    <w:rsid w:val="00394FE0"/>
    <w:rsid w:val="003961A5"/>
    <w:rsid w:val="00397DA8"/>
    <w:rsid w:val="003A0478"/>
    <w:rsid w:val="003A0BB9"/>
    <w:rsid w:val="003A0D6A"/>
    <w:rsid w:val="003A0FC4"/>
    <w:rsid w:val="003A1972"/>
    <w:rsid w:val="003A21B8"/>
    <w:rsid w:val="003A2EE2"/>
    <w:rsid w:val="003A3570"/>
    <w:rsid w:val="003A471A"/>
    <w:rsid w:val="003A5551"/>
    <w:rsid w:val="003A5A52"/>
    <w:rsid w:val="003A6261"/>
    <w:rsid w:val="003A67C9"/>
    <w:rsid w:val="003A6AD2"/>
    <w:rsid w:val="003A6E86"/>
    <w:rsid w:val="003B03D2"/>
    <w:rsid w:val="003B1699"/>
    <w:rsid w:val="003B26A1"/>
    <w:rsid w:val="003B2B44"/>
    <w:rsid w:val="003B4567"/>
    <w:rsid w:val="003B52F1"/>
    <w:rsid w:val="003B5C62"/>
    <w:rsid w:val="003B5DE0"/>
    <w:rsid w:val="003B6A19"/>
    <w:rsid w:val="003B6AD4"/>
    <w:rsid w:val="003B7408"/>
    <w:rsid w:val="003B755D"/>
    <w:rsid w:val="003C03A3"/>
    <w:rsid w:val="003C10B8"/>
    <w:rsid w:val="003C193E"/>
    <w:rsid w:val="003C26B6"/>
    <w:rsid w:val="003C397C"/>
    <w:rsid w:val="003C3B15"/>
    <w:rsid w:val="003C40DD"/>
    <w:rsid w:val="003C41FF"/>
    <w:rsid w:val="003C53C6"/>
    <w:rsid w:val="003C54AB"/>
    <w:rsid w:val="003C7705"/>
    <w:rsid w:val="003D03BD"/>
    <w:rsid w:val="003D0BD3"/>
    <w:rsid w:val="003D159A"/>
    <w:rsid w:val="003D20CC"/>
    <w:rsid w:val="003D3142"/>
    <w:rsid w:val="003D36AE"/>
    <w:rsid w:val="003D3803"/>
    <w:rsid w:val="003D4212"/>
    <w:rsid w:val="003D43BE"/>
    <w:rsid w:val="003D4D01"/>
    <w:rsid w:val="003D569D"/>
    <w:rsid w:val="003D597E"/>
    <w:rsid w:val="003D61AB"/>
    <w:rsid w:val="003E0158"/>
    <w:rsid w:val="003E11DE"/>
    <w:rsid w:val="003E1530"/>
    <w:rsid w:val="003E21E7"/>
    <w:rsid w:val="003E2999"/>
    <w:rsid w:val="003E2CB1"/>
    <w:rsid w:val="003E3CAA"/>
    <w:rsid w:val="003E537C"/>
    <w:rsid w:val="003E5DB7"/>
    <w:rsid w:val="003E6890"/>
    <w:rsid w:val="003E7037"/>
    <w:rsid w:val="003E70CF"/>
    <w:rsid w:val="003E7A94"/>
    <w:rsid w:val="003E7C51"/>
    <w:rsid w:val="003F02B2"/>
    <w:rsid w:val="003F08B9"/>
    <w:rsid w:val="003F0F53"/>
    <w:rsid w:val="003F1144"/>
    <w:rsid w:val="003F1F05"/>
    <w:rsid w:val="003F1FDC"/>
    <w:rsid w:val="003F256F"/>
    <w:rsid w:val="003F2B88"/>
    <w:rsid w:val="003F368A"/>
    <w:rsid w:val="003F3E88"/>
    <w:rsid w:val="003F4104"/>
    <w:rsid w:val="003F4457"/>
    <w:rsid w:val="003F61D6"/>
    <w:rsid w:val="003F64DB"/>
    <w:rsid w:val="003F72E0"/>
    <w:rsid w:val="003F7C80"/>
    <w:rsid w:val="0040055D"/>
    <w:rsid w:val="0040074C"/>
    <w:rsid w:val="00400E46"/>
    <w:rsid w:val="00401350"/>
    <w:rsid w:val="00401476"/>
    <w:rsid w:val="004015EA"/>
    <w:rsid w:val="00401874"/>
    <w:rsid w:val="004023C7"/>
    <w:rsid w:val="00402A6A"/>
    <w:rsid w:val="00402C11"/>
    <w:rsid w:val="00404170"/>
    <w:rsid w:val="004042E2"/>
    <w:rsid w:val="00406AE7"/>
    <w:rsid w:val="00406C40"/>
    <w:rsid w:val="00406CFA"/>
    <w:rsid w:val="00406EF0"/>
    <w:rsid w:val="004107E0"/>
    <w:rsid w:val="004111C2"/>
    <w:rsid w:val="00412206"/>
    <w:rsid w:val="00412997"/>
    <w:rsid w:val="0041386E"/>
    <w:rsid w:val="00413FA4"/>
    <w:rsid w:val="00415306"/>
    <w:rsid w:val="00415AB2"/>
    <w:rsid w:val="00416858"/>
    <w:rsid w:val="00417140"/>
    <w:rsid w:val="00420012"/>
    <w:rsid w:val="004216D7"/>
    <w:rsid w:val="00421CC7"/>
    <w:rsid w:val="00421FA0"/>
    <w:rsid w:val="004221AB"/>
    <w:rsid w:val="00422941"/>
    <w:rsid w:val="00422C22"/>
    <w:rsid w:val="00422CC9"/>
    <w:rsid w:val="00422DF4"/>
    <w:rsid w:val="00422EF6"/>
    <w:rsid w:val="00424605"/>
    <w:rsid w:val="00425A95"/>
    <w:rsid w:val="00425EB6"/>
    <w:rsid w:val="00425EC6"/>
    <w:rsid w:val="00426206"/>
    <w:rsid w:val="00426744"/>
    <w:rsid w:val="00430175"/>
    <w:rsid w:val="004323BB"/>
    <w:rsid w:val="00432438"/>
    <w:rsid w:val="00433030"/>
    <w:rsid w:val="00433A65"/>
    <w:rsid w:val="00433D1F"/>
    <w:rsid w:val="00433D84"/>
    <w:rsid w:val="0043527D"/>
    <w:rsid w:val="00435C1E"/>
    <w:rsid w:val="00436246"/>
    <w:rsid w:val="004370C0"/>
    <w:rsid w:val="00437A47"/>
    <w:rsid w:val="00440A65"/>
    <w:rsid w:val="00440ECD"/>
    <w:rsid w:val="00441C86"/>
    <w:rsid w:val="004428BF"/>
    <w:rsid w:val="00442B79"/>
    <w:rsid w:val="00443829"/>
    <w:rsid w:val="00444F2F"/>
    <w:rsid w:val="004455E5"/>
    <w:rsid w:val="00446962"/>
    <w:rsid w:val="004471CD"/>
    <w:rsid w:val="00447F83"/>
    <w:rsid w:val="00450951"/>
    <w:rsid w:val="0045184F"/>
    <w:rsid w:val="00451ABA"/>
    <w:rsid w:val="00451B35"/>
    <w:rsid w:val="004520A8"/>
    <w:rsid w:val="00452324"/>
    <w:rsid w:val="00452F91"/>
    <w:rsid w:val="0045309F"/>
    <w:rsid w:val="00453784"/>
    <w:rsid w:val="00454798"/>
    <w:rsid w:val="004557D1"/>
    <w:rsid w:val="004564E5"/>
    <w:rsid w:val="00456972"/>
    <w:rsid w:val="00457097"/>
    <w:rsid w:val="00460063"/>
    <w:rsid w:val="00461681"/>
    <w:rsid w:val="00461DCA"/>
    <w:rsid w:val="00464837"/>
    <w:rsid w:val="004655A4"/>
    <w:rsid w:val="00467874"/>
    <w:rsid w:val="00470AA5"/>
    <w:rsid w:val="004711FE"/>
    <w:rsid w:val="004712E4"/>
    <w:rsid w:val="004724D8"/>
    <w:rsid w:val="00472C74"/>
    <w:rsid w:val="00472ED9"/>
    <w:rsid w:val="00473D51"/>
    <w:rsid w:val="00474CE7"/>
    <w:rsid w:val="00475FB4"/>
    <w:rsid w:val="0047768C"/>
    <w:rsid w:val="00477D72"/>
    <w:rsid w:val="00480833"/>
    <w:rsid w:val="004812A3"/>
    <w:rsid w:val="0048156D"/>
    <w:rsid w:val="004835F5"/>
    <w:rsid w:val="0048528E"/>
    <w:rsid w:val="00485A76"/>
    <w:rsid w:val="00486AC0"/>
    <w:rsid w:val="00486C04"/>
    <w:rsid w:val="00490627"/>
    <w:rsid w:val="004907DE"/>
    <w:rsid w:val="00490E95"/>
    <w:rsid w:val="00491557"/>
    <w:rsid w:val="0049161F"/>
    <w:rsid w:val="00491F82"/>
    <w:rsid w:val="00493B88"/>
    <w:rsid w:val="00493C00"/>
    <w:rsid w:val="00494906"/>
    <w:rsid w:val="00494A91"/>
    <w:rsid w:val="0049579E"/>
    <w:rsid w:val="00495C6A"/>
    <w:rsid w:val="00496F37"/>
    <w:rsid w:val="004A0166"/>
    <w:rsid w:val="004A0A22"/>
    <w:rsid w:val="004A0CC9"/>
    <w:rsid w:val="004A25D5"/>
    <w:rsid w:val="004A2758"/>
    <w:rsid w:val="004A2E4E"/>
    <w:rsid w:val="004A3EB6"/>
    <w:rsid w:val="004A408B"/>
    <w:rsid w:val="004A5D0F"/>
    <w:rsid w:val="004A5F0D"/>
    <w:rsid w:val="004A66F4"/>
    <w:rsid w:val="004A76E2"/>
    <w:rsid w:val="004B188D"/>
    <w:rsid w:val="004B21E7"/>
    <w:rsid w:val="004B2A4D"/>
    <w:rsid w:val="004B3666"/>
    <w:rsid w:val="004B37E0"/>
    <w:rsid w:val="004B3EDC"/>
    <w:rsid w:val="004B41FF"/>
    <w:rsid w:val="004B493F"/>
    <w:rsid w:val="004B4A68"/>
    <w:rsid w:val="004B553B"/>
    <w:rsid w:val="004B5FC3"/>
    <w:rsid w:val="004B6624"/>
    <w:rsid w:val="004C0572"/>
    <w:rsid w:val="004C14E6"/>
    <w:rsid w:val="004C41FD"/>
    <w:rsid w:val="004C4EB0"/>
    <w:rsid w:val="004C53E1"/>
    <w:rsid w:val="004C6E25"/>
    <w:rsid w:val="004C7647"/>
    <w:rsid w:val="004C7FE6"/>
    <w:rsid w:val="004D0D2F"/>
    <w:rsid w:val="004D1B46"/>
    <w:rsid w:val="004D26A0"/>
    <w:rsid w:val="004D2958"/>
    <w:rsid w:val="004D3A98"/>
    <w:rsid w:val="004D3B52"/>
    <w:rsid w:val="004D43C3"/>
    <w:rsid w:val="004D448F"/>
    <w:rsid w:val="004D564F"/>
    <w:rsid w:val="004D58A0"/>
    <w:rsid w:val="004E0C4E"/>
    <w:rsid w:val="004E10D1"/>
    <w:rsid w:val="004E12AC"/>
    <w:rsid w:val="004E1C5E"/>
    <w:rsid w:val="004E2A14"/>
    <w:rsid w:val="004E3367"/>
    <w:rsid w:val="004E3712"/>
    <w:rsid w:val="004E4725"/>
    <w:rsid w:val="004E4954"/>
    <w:rsid w:val="004E4F8B"/>
    <w:rsid w:val="004E54F2"/>
    <w:rsid w:val="004E5DC2"/>
    <w:rsid w:val="004E5FDD"/>
    <w:rsid w:val="004E6110"/>
    <w:rsid w:val="004E61E8"/>
    <w:rsid w:val="004F0285"/>
    <w:rsid w:val="004F0824"/>
    <w:rsid w:val="004F09CE"/>
    <w:rsid w:val="004F0DCA"/>
    <w:rsid w:val="004F2168"/>
    <w:rsid w:val="004F3040"/>
    <w:rsid w:val="004F4045"/>
    <w:rsid w:val="004F4EE9"/>
    <w:rsid w:val="004F4F5D"/>
    <w:rsid w:val="004F5236"/>
    <w:rsid w:val="004F5352"/>
    <w:rsid w:val="004F5547"/>
    <w:rsid w:val="004F7F7B"/>
    <w:rsid w:val="004F7FA3"/>
    <w:rsid w:val="00500B72"/>
    <w:rsid w:val="00500C81"/>
    <w:rsid w:val="00501225"/>
    <w:rsid w:val="00501466"/>
    <w:rsid w:val="0050163B"/>
    <w:rsid w:val="00501BD1"/>
    <w:rsid w:val="005020E4"/>
    <w:rsid w:val="00503A36"/>
    <w:rsid w:val="00503BC5"/>
    <w:rsid w:val="00504169"/>
    <w:rsid w:val="00504D79"/>
    <w:rsid w:val="00507232"/>
    <w:rsid w:val="00507831"/>
    <w:rsid w:val="00511C13"/>
    <w:rsid w:val="0051235D"/>
    <w:rsid w:val="005124FE"/>
    <w:rsid w:val="00512AA6"/>
    <w:rsid w:val="00512D85"/>
    <w:rsid w:val="00512F71"/>
    <w:rsid w:val="005130C1"/>
    <w:rsid w:val="00513297"/>
    <w:rsid w:val="005136C9"/>
    <w:rsid w:val="00513EB2"/>
    <w:rsid w:val="005156CB"/>
    <w:rsid w:val="005163F1"/>
    <w:rsid w:val="00516A63"/>
    <w:rsid w:val="005171B7"/>
    <w:rsid w:val="005200CA"/>
    <w:rsid w:val="005214C3"/>
    <w:rsid w:val="00523C1A"/>
    <w:rsid w:val="00523CB0"/>
    <w:rsid w:val="005243D9"/>
    <w:rsid w:val="0052493A"/>
    <w:rsid w:val="00524B09"/>
    <w:rsid w:val="00524EA1"/>
    <w:rsid w:val="005250C6"/>
    <w:rsid w:val="00525684"/>
    <w:rsid w:val="0052592F"/>
    <w:rsid w:val="00525C80"/>
    <w:rsid w:val="00526C01"/>
    <w:rsid w:val="00527B23"/>
    <w:rsid w:val="005302EB"/>
    <w:rsid w:val="00530538"/>
    <w:rsid w:val="005319AF"/>
    <w:rsid w:val="00531D53"/>
    <w:rsid w:val="00532032"/>
    <w:rsid w:val="00532908"/>
    <w:rsid w:val="005329E7"/>
    <w:rsid w:val="00532ADF"/>
    <w:rsid w:val="00532B14"/>
    <w:rsid w:val="005338EA"/>
    <w:rsid w:val="00533E1F"/>
    <w:rsid w:val="005352AF"/>
    <w:rsid w:val="0053566B"/>
    <w:rsid w:val="00537344"/>
    <w:rsid w:val="00537722"/>
    <w:rsid w:val="00537CB6"/>
    <w:rsid w:val="00540E2B"/>
    <w:rsid w:val="005411A5"/>
    <w:rsid w:val="00541673"/>
    <w:rsid w:val="005432FB"/>
    <w:rsid w:val="0054348D"/>
    <w:rsid w:val="00543A47"/>
    <w:rsid w:val="00545398"/>
    <w:rsid w:val="0054622A"/>
    <w:rsid w:val="0054744D"/>
    <w:rsid w:val="00547B43"/>
    <w:rsid w:val="00550647"/>
    <w:rsid w:val="00550945"/>
    <w:rsid w:val="005509A2"/>
    <w:rsid w:val="00551F2C"/>
    <w:rsid w:val="00552B44"/>
    <w:rsid w:val="00553433"/>
    <w:rsid w:val="00553C41"/>
    <w:rsid w:val="005543E9"/>
    <w:rsid w:val="005543F4"/>
    <w:rsid w:val="005548E2"/>
    <w:rsid w:val="00554AAD"/>
    <w:rsid w:val="00554E10"/>
    <w:rsid w:val="00556055"/>
    <w:rsid w:val="005565B0"/>
    <w:rsid w:val="00557498"/>
    <w:rsid w:val="005608C4"/>
    <w:rsid w:val="0056272F"/>
    <w:rsid w:val="00563089"/>
    <w:rsid w:val="00563A9F"/>
    <w:rsid w:val="005640A0"/>
    <w:rsid w:val="0056424A"/>
    <w:rsid w:val="005645D2"/>
    <w:rsid w:val="00564E69"/>
    <w:rsid w:val="00565935"/>
    <w:rsid w:val="0056641B"/>
    <w:rsid w:val="00567963"/>
    <w:rsid w:val="00567B70"/>
    <w:rsid w:val="005718C8"/>
    <w:rsid w:val="00571B47"/>
    <w:rsid w:val="005732B1"/>
    <w:rsid w:val="0057521D"/>
    <w:rsid w:val="0057594E"/>
    <w:rsid w:val="00577071"/>
    <w:rsid w:val="00577DFE"/>
    <w:rsid w:val="00580B15"/>
    <w:rsid w:val="005828B3"/>
    <w:rsid w:val="00582B52"/>
    <w:rsid w:val="00582F09"/>
    <w:rsid w:val="00583789"/>
    <w:rsid w:val="005838D9"/>
    <w:rsid w:val="00583C93"/>
    <w:rsid w:val="00584A13"/>
    <w:rsid w:val="005850DF"/>
    <w:rsid w:val="005851E7"/>
    <w:rsid w:val="00585E4A"/>
    <w:rsid w:val="00586069"/>
    <w:rsid w:val="0058623D"/>
    <w:rsid w:val="00586649"/>
    <w:rsid w:val="00586C73"/>
    <w:rsid w:val="00587F68"/>
    <w:rsid w:val="00590AAB"/>
    <w:rsid w:val="005912BD"/>
    <w:rsid w:val="0059156C"/>
    <w:rsid w:val="005915C7"/>
    <w:rsid w:val="00592434"/>
    <w:rsid w:val="00592CBD"/>
    <w:rsid w:val="00592F75"/>
    <w:rsid w:val="0059411D"/>
    <w:rsid w:val="00594D29"/>
    <w:rsid w:val="005953ED"/>
    <w:rsid w:val="00595603"/>
    <w:rsid w:val="00595F7C"/>
    <w:rsid w:val="00596A77"/>
    <w:rsid w:val="00596EA0"/>
    <w:rsid w:val="005973B9"/>
    <w:rsid w:val="0059799A"/>
    <w:rsid w:val="00597FB4"/>
    <w:rsid w:val="005A0A98"/>
    <w:rsid w:val="005A0FA2"/>
    <w:rsid w:val="005A102E"/>
    <w:rsid w:val="005A176E"/>
    <w:rsid w:val="005A2288"/>
    <w:rsid w:val="005A22E6"/>
    <w:rsid w:val="005A2869"/>
    <w:rsid w:val="005A2B3D"/>
    <w:rsid w:val="005A5358"/>
    <w:rsid w:val="005A6417"/>
    <w:rsid w:val="005A7896"/>
    <w:rsid w:val="005A78B6"/>
    <w:rsid w:val="005A7D2E"/>
    <w:rsid w:val="005B03B5"/>
    <w:rsid w:val="005B1894"/>
    <w:rsid w:val="005B19B3"/>
    <w:rsid w:val="005B2E7A"/>
    <w:rsid w:val="005B597E"/>
    <w:rsid w:val="005B5AC9"/>
    <w:rsid w:val="005B5FFD"/>
    <w:rsid w:val="005C07F7"/>
    <w:rsid w:val="005C118D"/>
    <w:rsid w:val="005C3744"/>
    <w:rsid w:val="005C3D7D"/>
    <w:rsid w:val="005C4853"/>
    <w:rsid w:val="005C4A6B"/>
    <w:rsid w:val="005C5DBF"/>
    <w:rsid w:val="005C64AA"/>
    <w:rsid w:val="005C7057"/>
    <w:rsid w:val="005C71A4"/>
    <w:rsid w:val="005D0C63"/>
    <w:rsid w:val="005D1F12"/>
    <w:rsid w:val="005D2216"/>
    <w:rsid w:val="005D22C3"/>
    <w:rsid w:val="005D262B"/>
    <w:rsid w:val="005D27AB"/>
    <w:rsid w:val="005D2AFA"/>
    <w:rsid w:val="005D387F"/>
    <w:rsid w:val="005D4D6B"/>
    <w:rsid w:val="005D4FCF"/>
    <w:rsid w:val="005D5303"/>
    <w:rsid w:val="005D6D99"/>
    <w:rsid w:val="005D73A2"/>
    <w:rsid w:val="005D7B3A"/>
    <w:rsid w:val="005E33A2"/>
    <w:rsid w:val="005E33EE"/>
    <w:rsid w:val="005E4165"/>
    <w:rsid w:val="005E41ED"/>
    <w:rsid w:val="005E4575"/>
    <w:rsid w:val="005E45A6"/>
    <w:rsid w:val="005E6E79"/>
    <w:rsid w:val="005E7305"/>
    <w:rsid w:val="005E767F"/>
    <w:rsid w:val="005E7F4D"/>
    <w:rsid w:val="005F0BD8"/>
    <w:rsid w:val="005F114E"/>
    <w:rsid w:val="005F1373"/>
    <w:rsid w:val="005F18D5"/>
    <w:rsid w:val="005F2126"/>
    <w:rsid w:val="005F2145"/>
    <w:rsid w:val="005F330C"/>
    <w:rsid w:val="005F3AC9"/>
    <w:rsid w:val="005F3DDA"/>
    <w:rsid w:val="005F581C"/>
    <w:rsid w:val="005F6E06"/>
    <w:rsid w:val="005F7859"/>
    <w:rsid w:val="005F7F78"/>
    <w:rsid w:val="0060172E"/>
    <w:rsid w:val="00601E36"/>
    <w:rsid w:val="00602104"/>
    <w:rsid w:val="006042CA"/>
    <w:rsid w:val="006046D7"/>
    <w:rsid w:val="00604CAE"/>
    <w:rsid w:val="00605CBA"/>
    <w:rsid w:val="006100C9"/>
    <w:rsid w:val="00611B52"/>
    <w:rsid w:val="00611C67"/>
    <w:rsid w:val="0061225F"/>
    <w:rsid w:val="00613950"/>
    <w:rsid w:val="00613A7C"/>
    <w:rsid w:val="00614031"/>
    <w:rsid w:val="0061428C"/>
    <w:rsid w:val="0061627F"/>
    <w:rsid w:val="006166A7"/>
    <w:rsid w:val="00616F67"/>
    <w:rsid w:val="006174CC"/>
    <w:rsid w:val="00620898"/>
    <w:rsid w:val="006209E3"/>
    <w:rsid w:val="00621256"/>
    <w:rsid w:val="00621906"/>
    <w:rsid w:val="00622A3B"/>
    <w:rsid w:val="00622C98"/>
    <w:rsid w:val="006235F3"/>
    <w:rsid w:val="00624780"/>
    <w:rsid w:val="0062532A"/>
    <w:rsid w:val="006255C8"/>
    <w:rsid w:val="006269F3"/>
    <w:rsid w:val="00627036"/>
    <w:rsid w:val="00627991"/>
    <w:rsid w:val="006302B8"/>
    <w:rsid w:val="006311B7"/>
    <w:rsid w:val="0063152B"/>
    <w:rsid w:val="00631699"/>
    <w:rsid w:val="00631EFD"/>
    <w:rsid w:val="0063231A"/>
    <w:rsid w:val="0063475F"/>
    <w:rsid w:val="0063595D"/>
    <w:rsid w:val="006366AC"/>
    <w:rsid w:val="00636818"/>
    <w:rsid w:val="00637A2E"/>
    <w:rsid w:val="00640A38"/>
    <w:rsid w:val="00640F98"/>
    <w:rsid w:val="00641A37"/>
    <w:rsid w:val="00642179"/>
    <w:rsid w:val="00642F91"/>
    <w:rsid w:val="00643773"/>
    <w:rsid w:val="006437CF"/>
    <w:rsid w:val="00643BF0"/>
    <w:rsid w:val="00644891"/>
    <w:rsid w:val="006449A1"/>
    <w:rsid w:val="00645084"/>
    <w:rsid w:val="0064724D"/>
    <w:rsid w:val="00647482"/>
    <w:rsid w:val="00647B82"/>
    <w:rsid w:val="00650199"/>
    <w:rsid w:val="006519AF"/>
    <w:rsid w:val="00653C8C"/>
    <w:rsid w:val="006546F5"/>
    <w:rsid w:val="00654F1C"/>
    <w:rsid w:val="006558D9"/>
    <w:rsid w:val="00655DE9"/>
    <w:rsid w:val="00656631"/>
    <w:rsid w:val="00656A17"/>
    <w:rsid w:val="00656AA9"/>
    <w:rsid w:val="006617B9"/>
    <w:rsid w:val="00661D07"/>
    <w:rsid w:val="006624C7"/>
    <w:rsid w:val="00662DD0"/>
    <w:rsid w:val="00663290"/>
    <w:rsid w:val="006648F3"/>
    <w:rsid w:val="00665007"/>
    <w:rsid w:val="00665BB4"/>
    <w:rsid w:val="0066714D"/>
    <w:rsid w:val="0066721C"/>
    <w:rsid w:val="00667BDA"/>
    <w:rsid w:val="006701B3"/>
    <w:rsid w:val="00670BF6"/>
    <w:rsid w:val="006712F7"/>
    <w:rsid w:val="00671695"/>
    <w:rsid w:val="00671BF6"/>
    <w:rsid w:val="006725D3"/>
    <w:rsid w:val="00673193"/>
    <w:rsid w:val="00673762"/>
    <w:rsid w:val="00673B88"/>
    <w:rsid w:val="00674B52"/>
    <w:rsid w:val="00674F9E"/>
    <w:rsid w:val="00675CB8"/>
    <w:rsid w:val="00675DCF"/>
    <w:rsid w:val="00676527"/>
    <w:rsid w:val="00676E9A"/>
    <w:rsid w:val="006770CC"/>
    <w:rsid w:val="006804CF"/>
    <w:rsid w:val="00680EF9"/>
    <w:rsid w:val="00681868"/>
    <w:rsid w:val="00681E94"/>
    <w:rsid w:val="006820AA"/>
    <w:rsid w:val="00682292"/>
    <w:rsid w:val="00682A2A"/>
    <w:rsid w:val="00682C7D"/>
    <w:rsid w:val="00682EDC"/>
    <w:rsid w:val="00685333"/>
    <w:rsid w:val="006855EF"/>
    <w:rsid w:val="00685E8D"/>
    <w:rsid w:val="00685EB0"/>
    <w:rsid w:val="00686034"/>
    <w:rsid w:val="006860E2"/>
    <w:rsid w:val="00686476"/>
    <w:rsid w:val="00686EC0"/>
    <w:rsid w:val="00687014"/>
    <w:rsid w:val="0068783E"/>
    <w:rsid w:val="00687C2E"/>
    <w:rsid w:val="00690B7A"/>
    <w:rsid w:val="006912D7"/>
    <w:rsid w:val="0069155E"/>
    <w:rsid w:val="00691B8F"/>
    <w:rsid w:val="00692757"/>
    <w:rsid w:val="006935F4"/>
    <w:rsid w:val="00694088"/>
    <w:rsid w:val="00694332"/>
    <w:rsid w:val="00694587"/>
    <w:rsid w:val="0069484C"/>
    <w:rsid w:val="00695E6C"/>
    <w:rsid w:val="00696490"/>
    <w:rsid w:val="00696D23"/>
    <w:rsid w:val="00696E97"/>
    <w:rsid w:val="00697E01"/>
    <w:rsid w:val="006A0115"/>
    <w:rsid w:val="006A059F"/>
    <w:rsid w:val="006A097A"/>
    <w:rsid w:val="006A0A99"/>
    <w:rsid w:val="006A0B5F"/>
    <w:rsid w:val="006A11ED"/>
    <w:rsid w:val="006A15AB"/>
    <w:rsid w:val="006A1770"/>
    <w:rsid w:val="006A20FF"/>
    <w:rsid w:val="006A22C9"/>
    <w:rsid w:val="006A2BB9"/>
    <w:rsid w:val="006A38A8"/>
    <w:rsid w:val="006A5AFA"/>
    <w:rsid w:val="006A69AE"/>
    <w:rsid w:val="006A71F5"/>
    <w:rsid w:val="006A785A"/>
    <w:rsid w:val="006B074D"/>
    <w:rsid w:val="006B0F70"/>
    <w:rsid w:val="006B13BC"/>
    <w:rsid w:val="006B1948"/>
    <w:rsid w:val="006B2786"/>
    <w:rsid w:val="006B325F"/>
    <w:rsid w:val="006B35DB"/>
    <w:rsid w:val="006B3EC8"/>
    <w:rsid w:val="006B4A20"/>
    <w:rsid w:val="006B4E20"/>
    <w:rsid w:val="006B5918"/>
    <w:rsid w:val="006B5ADA"/>
    <w:rsid w:val="006B5C8D"/>
    <w:rsid w:val="006B6731"/>
    <w:rsid w:val="006B6A24"/>
    <w:rsid w:val="006B7C00"/>
    <w:rsid w:val="006B7CA4"/>
    <w:rsid w:val="006B7E09"/>
    <w:rsid w:val="006C0116"/>
    <w:rsid w:val="006C0439"/>
    <w:rsid w:val="006C2E7B"/>
    <w:rsid w:val="006C398C"/>
    <w:rsid w:val="006C46E0"/>
    <w:rsid w:val="006C4BCC"/>
    <w:rsid w:val="006C503A"/>
    <w:rsid w:val="006C5A97"/>
    <w:rsid w:val="006C6616"/>
    <w:rsid w:val="006C6C69"/>
    <w:rsid w:val="006C6F32"/>
    <w:rsid w:val="006D0473"/>
    <w:rsid w:val="006D0555"/>
    <w:rsid w:val="006D0712"/>
    <w:rsid w:val="006D1734"/>
    <w:rsid w:val="006D1A03"/>
    <w:rsid w:val="006D1C16"/>
    <w:rsid w:val="006D1DD8"/>
    <w:rsid w:val="006D1EA5"/>
    <w:rsid w:val="006D4B3C"/>
    <w:rsid w:val="006D59BC"/>
    <w:rsid w:val="006D60E0"/>
    <w:rsid w:val="006D7531"/>
    <w:rsid w:val="006D767F"/>
    <w:rsid w:val="006D7A88"/>
    <w:rsid w:val="006E0471"/>
    <w:rsid w:val="006E0B27"/>
    <w:rsid w:val="006E1833"/>
    <w:rsid w:val="006E2567"/>
    <w:rsid w:val="006E277B"/>
    <w:rsid w:val="006E364D"/>
    <w:rsid w:val="006E37A7"/>
    <w:rsid w:val="006E38CE"/>
    <w:rsid w:val="006E47F2"/>
    <w:rsid w:val="006E4D9D"/>
    <w:rsid w:val="006E5243"/>
    <w:rsid w:val="006E557B"/>
    <w:rsid w:val="006E59A3"/>
    <w:rsid w:val="006E6576"/>
    <w:rsid w:val="006F1B3D"/>
    <w:rsid w:val="006F1CE8"/>
    <w:rsid w:val="006F29D9"/>
    <w:rsid w:val="006F449C"/>
    <w:rsid w:val="006F491D"/>
    <w:rsid w:val="006F53A3"/>
    <w:rsid w:val="006F5588"/>
    <w:rsid w:val="006F5783"/>
    <w:rsid w:val="006F5F1C"/>
    <w:rsid w:val="006F6588"/>
    <w:rsid w:val="006F72E5"/>
    <w:rsid w:val="006F77D3"/>
    <w:rsid w:val="006F7B8B"/>
    <w:rsid w:val="0070021A"/>
    <w:rsid w:val="00700722"/>
    <w:rsid w:val="007012B6"/>
    <w:rsid w:val="00701B48"/>
    <w:rsid w:val="00701D56"/>
    <w:rsid w:val="007021D0"/>
    <w:rsid w:val="00703431"/>
    <w:rsid w:val="00703761"/>
    <w:rsid w:val="00703B80"/>
    <w:rsid w:val="00703F2B"/>
    <w:rsid w:val="00704C49"/>
    <w:rsid w:val="00705093"/>
    <w:rsid w:val="007050FC"/>
    <w:rsid w:val="00705CA0"/>
    <w:rsid w:val="007069E5"/>
    <w:rsid w:val="007110A4"/>
    <w:rsid w:val="00711309"/>
    <w:rsid w:val="00711D2C"/>
    <w:rsid w:val="007122DD"/>
    <w:rsid w:val="00713958"/>
    <w:rsid w:val="007141C0"/>
    <w:rsid w:val="0071437E"/>
    <w:rsid w:val="00721EBA"/>
    <w:rsid w:val="00721F3D"/>
    <w:rsid w:val="00722635"/>
    <w:rsid w:val="00722C61"/>
    <w:rsid w:val="00722F69"/>
    <w:rsid w:val="00724073"/>
    <w:rsid w:val="00725E00"/>
    <w:rsid w:val="00726197"/>
    <w:rsid w:val="00726371"/>
    <w:rsid w:val="00727604"/>
    <w:rsid w:val="00727867"/>
    <w:rsid w:val="00730011"/>
    <w:rsid w:val="00731F48"/>
    <w:rsid w:val="007324E0"/>
    <w:rsid w:val="00734328"/>
    <w:rsid w:val="0073448D"/>
    <w:rsid w:val="00734B46"/>
    <w:rsid w:val="00734F7E"/>
    <w:rsid w:val="007361F7"/>
    <w:rsid w:val="00736261"/>
    <w:rsid w:val="00736301"/>
    <w:rsid w:val="007364BA"/>
    <w:rsid w:val="007370F5"/>
    <w:rsid w:val="0073772C"/>
    <w:rsid w:val="00737CF3"/>
    <w:rsid w:val="00740226"/>
    <w:rsid w:val="00740317"/>
    <w:rsid w:val="00741628"/>
    <w:rsid w:val="00741E6B"/>
    <w:rsid w:val="00742598"/>
    <w:rsid w:val="00744ED9"/>
    <w:rsid w:val="00744F3A"/>
    <w:rsid w:val="0074708C"/>
    <w:rsid w:val="00750958"/>
    <w:rsid w:val="0075101E"/>
    <w:rsid w:val="00751182"/>
    <w:rsid w:val="00751E3D"/>
    <w:rsid w:val="00751F8A"/>
    <w:rsid w:val="00751FAF"/>
    <w:rsid w:val="00752538"/>
    <w:rsid w:val="00754B41"/>
    <w:rsid w:val="00755239"/>
    <w:rsid w:val="007553D9"/>
    <w:rsid w:val="007554C9"/>
    <w:rsid w:val="00756F00"/>
    <w:rsid w:val="0076082D"/>
    <w:rsid w:val="007618B6"/>
    <w:rsid w:val="007620E3"/>
    <w:rsid w:val="00762829"/>
    <w:rsid w:val="00763419"/>
    <w:rsid w:val="00763823"/>
    <w:rsid w:val="00763AE1"/>
    <w:rsid w:val="007648CD"/>
    <w:rsid w:val="007651D8"/>
    <w:rsid w:val="0076534D"/>
    <w:rsid w:val="00770360"/>
    <w:rsid w:val="007748BE"/>
    <w:rsid w:val="007774C4"/>
    <w:rsid w:val="00777E90"/>
    <w:rsid w:val="007807AA"/>
    <w:rsid w:val="00784491"/>
    <w:rsid w:val="007844C2"/>
    <w:rsid w:val="00785F0D"/>
    <w:rsid w:val="00786F19"/>
    <w:rsid w:val="00787864"/>
    <w:rsid w:val="00787D54"/>
    <w:rsid w:val="00790527"/>
    <w:rsid w:val="00790F23"/>
    <w:rsid w:val="007915CD"/>
    <w:rsid w:val="0079216C"/>
    <w:rsid w:val="007921BF"/>
    <w:rsid w:val="00792882"/>
    <w:rsid w:val="00792AE2"/>
    <w:rsid w:val="00793010"/>
    <w:rsid w:val="00793420"/>
    <w:rsid w:val="00793637"/>
    <w:rsid w:val="007936D4"/>
    <w:rsid w:val="00793E3A"/>
    <w:rsid w:val="00794A1E"/>
    <w:rsid w:val="007955B2"/>
    <w:rsid w:val="00795644"/>
    <w:rsid w:val="00795AF2"/>
    <w:rsid w:val="00796E1E"/>
    <w:rsid w:val="007A024B"/>
    <w:rsid w:val="007A08B8"/>
    <w:rsid w:val="007A0C12"/>
    <w:rsid w:val="007A11AD"/>
    <w:rsid w:val="007A29A8"/>
    <w:rsid w:val="007A35F8"/>
    <w:rsid w:val="007A4022"/>
    <w:rsid w:val="007A4AFB"/>
    <w:rsid w:val="007A5201"/>
    <w:rsid w:val="007A55F7"/>
    <w:rsid w:val="007A58FD"/>
    <w:rsid w:val="007A65E2"/>
    <w:rsid w:val="007A7096"/>
    <w:rsid w:val="007A7F84"/>
    <w:rsid w:val="007B1AB0"/>
    <w:rsid w:val="007B1FF1"/>
    <w:rsid w:val="007B2B3A"/>
    <w:rsid w:val="007B2D2F"/>
    <w:rsid w:val="007B4498"/>
    <w:rsid w:val="007B47EB"/>
    <w:rsid w:val="007B48E5"/>
    <w:rsid w:val="007B4BD8"/>
    <w:rsid w:val="007B545E"/>
    <w:rsid w:val="007B54E1"/>
    <w:rsid w:val="007B66EB"/>
    <w:rsid w:val="007B685B"/>
    <w:rsid w:val="007B6A41"/>
    <w:rsid w:val="007B71C2"/>
    <w:rsid w:val="007C0A00"/>
    <w:rsid w:val="007C0CC0"/>
    <w:rsid w:val="007C0E2A"/>
    <w:rsid w:val="007C1943"/>
    <w:rsid w:val="007C1EBA"/>
    <w:rsid w:val="007C26A6"/>
    <w:rsid w:val="007C3678"/>
    <w:rsid w:val="007C392D"/>
    <w:rsid w:val="007C428F"/>
    <w:rsid w:val="007C5AAC"/>
    <w:rsid w:val="007D0011"/>
    <w:rsid w:val="007D0E25"/>
    <w:rsid w:val="007D0EA9"/>
    <w:rsid w:val="007D39D8"/>
    <w:rsid w:val="007D676F"/>
    <w:rsid w:val="007E0720"/>
    <w:rsid w:val="007E1224"/>
    <w:rsid w:val="007E1389"/>
    <w:rsid w:val="007E1F6A"/>
    <w:rsid w:val="007E225C"/>
    <w:rsid w:val="007E32B3"/>
    <w:rsid w:val="007E5C5D"/>
    <w:rsid w:val="007E6B00"/>
    <w:rsid w:val="007E7E92"/>
    <w:rsid w:val="007E7F12"/>
    <w:rsid w:val="007F0155"/>
    <w:rsid w:val="007F0720"/>
    <w:rsid w:val="007F1515"/>
    <w:rsid w:val="007F2F3E"/>
    <w:rsid w:val="007F3578"/>
    <w:rsid w:val="007F40DA"/>
    <w:rsid w:val="007F6617"/>
    <w:rsid w:val="007F6FA5"/>
    <w:rsid w:val="007F7460"/>
    <w:rsid w:val="0080044B"/>
    <w:rsid w:val="008004D3"/>
    <w:rsid w:val="008008E6"/>
    <w:rsid w:val="008025F9"/>
    <w:rsid w:val="00803317"/>
    <w:rsid w:val="00803882"/>
    <w:rsid w:val="008045DD"/>
    <w:rsid w:val="0080576E"/>
    <w:rsid w:val="0080597D"/>
    <w:rsid w:val="008061BE"/>
    <w:rsid w:val="00806FA4"/>
    <w:rsid w:val="00807897"/>
    <w:rsid w:val="00807959"/>
    <w:rsid w:val="008107AF"/>
    <w:rsid w:val="00810EE2"/>
    <w:rsid w:val="0081173C"/>
    <w:rsid w:val="00812171"/>
    <w:rsid w:val="00812594"/>
    <w:rsid w:val="008127F4"/>
    <w:rsid w:val="00813BB2"/>
    <w:rsid w:val="00815E5D"/>
    <w:rsid w:val="00815E77"/>
    <w:rsid w:val="00816013"/>
    <w:rsid w:val="008177A4"/>
    <w:rsid w:val="00817B84"/>
    <w:rsid w:val="00817DEC"/>
    <w:rsid w:val="0082033A"/>
    <w:rsid w:val="00820D7E"/>
    <w:rsid w:val="008210B8"/>
    <w:rsid w:val="008214E9"/>
    <w:rsid w:val="00821E84"/>
    <w:rsid w:val="008223AB"/>
    <w:rsid w:val="008228C2"/>
    <w:rsid w:val="00822C43"/>
    <w:rsid w:val="0082490D"/>
    <w:rsid w:val="008253BF"/>
    <w:rsid w:val="0082588D"/>
    <w:rsid w:val="008258DF"/>
    <w:rsid w:val="00826757"/>
    <w:rsid w:val="00826A20"/>
    <w:rsid w:val="00827706"/>
    <w:rsid w:val="008279A5"/>
    <w:rsid w:val="00827A65"/>
    <w:rsid w:val="00830382"/>
    <w:rsid w:val="00830D7D"/>
    <w:rsid w:val="00831482"/>
    <w:rsid w:val="008323A8"/>
    <w:rsid w:val="00832876"/>
    <w:rsid w:val="008333E0"/>
    <w:rsid w:val="00833DC4"/>
    <w:rsid w:val="00834C1D"/>
    <w:rsid w:val="00835EAC"/>
    <w:rsid w:val="008361D6"/>
    <w:rsid w:val="00836328"/>
    <w:rsid w:val="00837351"/>
    <w:rsid w:val="008379EE"/>
    <w:rsid w:val="00840E40"/>
    <w:rsid w:val="008416E5"/>
    <w:rsid w:val="00842F2B"/>
    <w:rsid w:val="008438DF"/>
    <w:rsid w:val="00845ADC"/>
    <w:rsid w:val="00847BF3"/>
    <w:rsid w:val="00847C97"/>
    <w:rsid w:val="008504A4"/>
    <w:rsid w:val="00850694"/>
    <w:rsid w:val="00851D2D"/>
    <w:rsid w:val="00852335"/>
    <w:rsid w:val="00852C85"/>
    <w:rsid w:val="008534FB"/>
    <w:rsid w:val="00854364"/>
    <w:rsid w:val="00856E6B"/>
    <w:rsid w:val="00860040"/>
    <w:rsid w:val="0086014B"/>
    <w:rsid w:val="0086193F"/>
    <w:rsid w:val="008619C3"/>
    <w:rsid w:val="00861F9D"/>
    <w:rsid w:val="0086222E"/>
    <w:rsid w:val="00863424"/>
    <w:rsid w:val="00864543"/>
    <w:rsid w:val="0086480B"/>
    <w:rsid w:val="00865AFE"/>
    <w:rsid w:val="008672B9"/>
    <w:rsid w:val="008672BD"/>
    <w:rsid w:val="0086789A"/>
    <w:rsid w:val="0087102A"/>
    <w:rsid w:val="00872A00"/>
    <w:rsid w:val="00874229"/>
    <w:rsid w:val="00874280"/>
    <w:rsid w:val="00874B7F"/>
    <w:rsid w:val="00874C13"/>
    <w:rsid w:val="00875F91"/>
    <w:rsid w:val="00876A94"/>
    <w:rsid w:val="00876F82"/>
    <w:rsid w:val="008840E0"/>
    <w:rsid w:val="00886033"/>
    <w:rsid w:val="008863D6"/>
    <w:rsid w:val="00886ABE"/>
    <w:rsid w:val="00886F31"/>
    <w:rsid w:val="0088770E"/>
    <w:rsid w:val="00887FD5"/>
    <w:rsid w:val="0089027A"/>
    <w:rsid w:val="00891B9D"/>
    <w:rsid w:val="00892950"/>
    <w:rsid w:val="00893730"/>
    <w:rsid w:val="0089388C"/>
    <w:rsid w:val="00894217"/>
    <w:rsid w:val="008943CF"/>
    <w:rsid w:val="00894E02"/>
    <w:rsid w:val="008952EF"/>
    <w:rsid w:val="008958DA"/>
    <w:rsid w:val="00896219"/>
    <w:rsid w:val="00896993"/>
    <w:rsid w:val="00896CD1"/>
    <w:rsid w:val="008974F0"/>
    <w:rsid w:val="00897FE3"/>
    <w:rsid w:val="008A0216"/>
    <w:rsid w:val="008A0DD2"/>
    <w:rsid w:val="008A0EBB"/>
    <w:rsid w:val="008A167D"/>
    <w:rsid w:val="008A28AA"/>
    <w:rsid w:val="008A29AF"/>
    <w:rsid w:val="008A3349"/>
    <w:rsid w:val="008A415D"/>
    <w:rsid w:val="008A4C52"/>
    <w:rsid w:val="008A4EBD"/>
    <w:rsid w:val="008A587B"/>
    <w:rsid w:val="008A7093"/>
    <w:rsid w:val="008A7104"/>
    <w:rsid w:val="008B083D"/>
    <w:rsid w:val="008B16C3"/>
    <w:rsid w:val="008B1AA4"/>
    <w:rsid w:val="008B1B95"/>
    <w:rsid w:val="008B1C87"/>
    <w:rsid w:val="008B2CD8"/>
    <w:rsid w:val="008B46AD"/>
    <w:rsid w:val="008B48E1"/>
    <w:rsid w:val="008B5306"/>
    <w:rsid w:val="008B575D"/>
    <w:rsid w:val="008B5FBE"/>
    <w:rsid w:val="008B72F4"/>
    <w:rsid w:val="008B79D4"/>
    <w:rsid w:val="008C1085"/>
    <w:rsid w:val="008C2224"/>
    <w:rsid w:val="008C2AE9"/>
    <w:rsid w:val="008C403E"/>
    <w:rsid w:val="008C50B2"/>
    <w:rsid w:val="008C675D"/>
    <w:rsid w:val="008C7139"/>
    <w:rsid w:val="008C77B1"/>
    <w:rsid w:val="008C7C68"/>
    <w:rsid w:val="008D0698"/>
    <w:rsid w:val="008D07E1"/>
    <w:rsid w:val="008D0E93"/>
    <w:rsid w:val="008D3EE9"/>
    <w:rsid w:val="008D43CB"/>
    <w:rsid w:val="008D45D2"/>
    <w:rsid w:val="008D5576"/>
    <w:rsid w:val="008D5C02"/>
    <w:rsid w:val="008D6492"/>
    <w:rsid w:val="008D6E2A"/>
    <w:rsid w:val="008D73D1"/>
    <w:rsid w:val="008D76D1"/>
    <w:rsid w:val="008E1028"/>
    <w:rsid w:val="008E1246"/>
    <w:rsid w:val="008E1678"/>
    <w:rsid w:val="008E2290"/>
    <w:rsid w:val="008E2477"/>
    <w:rsid w:val="008E24EB"/>
    <w:rsid w:val="008E294B"/>
    <w:rsid w:val="008E4240"/>
    <w:rsid w:val="008E44CE"/>
    <w:rsid w:val="008E46C2"/>
    <w:rsid w:val="008E56E6"/>
    <w:rsid w:val="008E6322"/>
    <w:rsid w:val="008E75CF"/>
    <w:rsid w:val="008F00C0"/>
    <w:rsid w:val="008F0C6C"/>
    <w:rsid w:val="008F1193"/>
    <w:rsid w:val="008F1311"/>
    <w:rsid w:val="008F1ACA"/>
    <w:rsid w:val="008F1B1B"/>
    <w:rsid w:val="008F1D08"/>
    <w:rsid w:val="008F21FF"/>
    <w:rsid w:val="008F4DDA"/>
    <w:rsid w:val="008F5A26"/>
    <w:rsid w:val="008F62BE"/>
    <w:rsid w:val="008F7726"/>
    <w:rsid w:val="009001AD"/>
    <w:rsid w:val="009007CF"/>
    <w:rsid w:val="009013FA"/>
    <w:rsid w:val="00901474"/>
    <w:rsid w:val="00901CA7"/>
    <w:rsid w:val="009029ED"/>
    <w:rsid w:val="009036EF"/>
    <w:rsid w:val="00903851"/>
    <w:rsid w:val="009038C2"/>
    <w:rsid w:val="0090473E"/>
    <w:rsid w:val="00904F5E"/>
    <w:rsid w:val="00905B00"/>
    <w:rsid w:val="00906931"/>
    <w:rsid w:val="00906DDA"/>
    <w:rsid w:val="00907BF5"/>
    <w:rsid w:val="00907EDA"/>
    <w:rsid w:val="009107E7"/>
    <w:rsid w:val="00911108"/>
    <w:rsid w:val="00911187"/>
    <w:rsid w:val="009112F5"/>
    <w:rsid w:val="009115F5"/>
    <w:rsid w:val="00911B15"/>
    <w:rsid w:val="00911FEE"/>
    <w:rsid w:val="009126F9"/>
    <w:rsid w:val="00913C07"/>
    <w:rsid w:val="00915174"/>
    <w:rsid w:val="0091540B"/>
    <w:rsid w:val="00916084"/>
    <w:rsid w:val="0091641C"/>
    <w:rsid w:val="009224A2"/>
    <w:rsid w:val="00922743"/>
    <w:rsid w:val="00922CC4"/>
    <w:rsid w:val="00923EF2"/>
    <w:rsid w:val="00925417"/>
    <w:rsid w:val="00926C0A"/>
    <w:rsid w:val="0092777C"/>
    <w:rsid w:val="00927F85"/>
    <w:rsid w:val="009300EA"/>
    <w:rsid w:val="0093056A"/>
    <w:rsid w:val="00930D5D"/>
    <w:rsid w:val="00930F3B"/>
    <w:rsid w:val="0093166D"/>
    <w:rsid w:val="009321AA"/>
    <w:rsid w:val="00932855"/>
    <w:rsid w:val="00933617"/>
    <w:rsid w:val="00933776"/>
    <w:rsid w:val="0093381E"/>
    <w:rsid w:val="009348FA"/>
    <w:rsid w:val="0093508D"/>
    <w:rsid w:val="00936379"/>
    <w:rsid w:val="00936974"/>
    <w:rsid w:val="00936C05"/>
    <w:rsid w:val="00936E24"/>
    <w:rsid w:val="00941DF3"/>
    <w:rsid w:val="00943D3F"/>
    <w:rsid w:val="00945373"/>
    <w:rsid w:val="009457CA"/>
    <w:rsid w:val="00945804"/>
    <w:rsid w:val="00945AC1"/>
    <w:rsid w:val="00945D27"/>
    <w:rsid w:val="00946507"/>
    <w:rsid w:val="00946F6A"/>
    <w:rsid w:val="00952B19"/>
    <w:rsid w:val="00952EC7"/>
    <w:rsid w:val="0095377D"/>
    <w:rsid w:val="00953AA7"/>
    <w:rsid w:val="00953DF8"/>
    <w:rsid w:val="00954018"/>
    <w:rsid w:val="009547E3"/>
    <w:rsid w:val="0095484B"/>
    <w:rsid w:val="00954D3B"/>
    <w:rsid w:val="00954D5A"/>
    <w:rsid w:val="00955393"/>
    <w:rsid w:val="009557DE"/>
    <w:rsid w:val="009559BA"/>
    <w:rsid w:val="00956227"/>
    <w:rsid w:val="009604D1"/>
    <w:rsid w:val="009613AD"/>
    <w:rsid w:val="00961D26"/>
    <w:rsid w:val="00962198"/>
    <w:rsid w:val="0096245F"/>
    <w:rsid w:val="0096254A"/>
    <w:rsid w:val="0096282F"/>
    <w:rsid w:val="00962A9B"/>
    <w:rsid w:val="00963050"/>
    <w:rsid w:val="0096437D"/>
    <w:rsid w:val="00965288"/>
    <w:rsid w:val="00965357"/>
    <w:rsid w:val="0096565D"/>
    <w:rsid w:val="00965BFA"/>
    <w:rsid w:val="0096699A"/>
    <w:rsid w:val="00966C88"/>
    <w:rsid w:val="009674B2"/>
    <w:rsid w:val="0097105F"/>
    <w:rsid w:val="00971D5C"/>
    <w:rsid w:val="00971DB3"/>
    <w:rsid w:val="0097261A"/>
    <w:rsid w:val="00972B8E"/>
    <w:rsid w:val="00973F15"/>
    <w:rsid w:val="00974685"/>
    <w:rsid w:val="00974CF4"/>
    <w:rsid w:val="00974FAE"/>
    <w:rsid w:val="00975549"/>
    <w:rsid w:val="00975802"/>
    <w:rsid w:val="00975CA1"/>
    <w:rsid w:val="00976383"/>
    <w:rsid w:val="009763CF"/>
    <w:rsid w:val="0097649C"/>
    <w:rsid w:val="00976C1E"/>
    <w:rsid w:val="00976D9C"/>
    <w:rsid w:val="00977078"/>
    <w:rsid w:val="00977CEF"/>
    <w:rsid w:val="00980C2D"/>
    <w:rsid w:val="009835E8"/>
    <w:rsid w:val="009870B3"/>
    <w:rsid w:val="00987757"/>
    <w:rsid w:val="009903D2"/>
    <w:rsid w:val="0099051E"/>
    <w:rsid w:val="009906B6"/>
    <w:rsid w:val="00990AE8"/>
    <w:rsid w:val="00990BEA"/>
    <w:rsid w:val="009916D5"/>
    <w:rsid w:val="00992640"/>
    <w:rsid w:val="0099330E"/>
    <w:rsid w:val="00993EDA"/>
    <w:rsid w:val="00995192"/>
    <w:rsid w:val="00996259"/>
    <w:rsid w:val="00996788"/>
    <w:rsid w:val="00996C59"/>
    <w:rsid w:val="0099793B"/>
    <w:rsid w:val="00997D8E"/>
    <w:rsid w:val="009A0D68"/>
    <w:rsid w:val="009A1094"/>
    <w:rsid w:val="009A1961"/>
    <w:rsid w:val="009A274D"/>
    <w:rsid w:val="009A369E"/>
    <w:rsid w:val="009A3E04"/>
    <w:rsid w:val="009A45CB"/>
    <w:rsid w:val="009A5006"/>
    <w:rsid w:val="009A5532"/>
    <w:rsid w:val="009A5C5F"/>
    <w:rsid w:val="009A6188"/>
    <w:rsid w:val="009A7627"/>
    <w:rsid w:val="009A7867"/>
    <w:rsid w:val="009B0FF5"/>
    <w:rsid w:val="009B249A"/>
    <w:rsid w:val="009B2882"/>
    <w:rsid w:val="009B2FFB"/>
    <w:rsid w:val="009B3269"/>
    <w:rsid w:val="009B340D"/>
    <w:rsid w:val="009B3848"/>
    <w:rsid w:val="009B48BA"/>
    <w:rsid w:val="009B639F"/>
    <w:rsid w:val="009B6D29"/>
    <w:rsid w:val="009B6DA2"/>
    <w:rsid w:val="009B73B2"/>
    <w:rsid w:val="009B7ED2"/>
    <w:rsid w:val="009C0549"/>
    <w:rsid w:val="009C2234"/>
    <w:rsid w:val="009C2502"/>
    <w:rsid w:val="009C273B"/>
    <w:rsid w:val="009C380C"/>
    <w:rsid w:val="009C44C5"/>
    <w:rsid w:val="009C49E3"/>
    <w:rsid w:val="009C4B8B"/>
    <w:rsid w:val="009C4BC3"/>
    <w:rsid w:val="009C589C"/>
    <w:rsid w:val="009C5AA3"/>
    <w:rsid w:val="009C679B"/>
    <w:rsid w:val="009C7A34"/>
    <w:rsid w:val="009C7C15"/>
    <w:rsid w:val="009C7C4A"/>
    <w:rsid w:val="009D2842"/>
    <w:rsid w:val="009D2DBD"/>
    <w:rsid w:val="009D3142"/>
    <w:rsid w:val="009D3F7D"/>
    <w:rsid w:val="009D428F"/>
    <w:rsid w:val="009D4E48"/>
    <w:rsid w:val="009D56BD"/>
    <w:rsid w:val="009D66D2"/>
    <w:rsid w:val="009D7794"/>
    <w:rsid w:val="009D79F9"/>
    <w:rsid w:val="009D7AAC"/>
    <w:rsid w:val="009E1E5E"/>
    <w:rsid w:val="009E1F25"/>
    <w:rsid w:val="009E22E3"/>
    <w:rsid w:val="009E2347"/>
    <w:rsid w:val="009E310A"/>
    <w:rsid w:val="009E4228"/>
    <w:rsid w:val="009E6A4A"/>
    <w:rsid w:val="009E7051"/>
    <w:rsid w:val="009E7B4F"/>
    <w:rsid w:val="009F0CEB"/>
    <w:rsid w:val="009F16A0"/>
    <w:rsid w:val="009F335E"/>
    <w:rsid w:val="009F33CF"/>
    <w:rsid w:val="009F3BF7"/>
    <w:rsid w:val="009F4076"/>
    <w:rsid w:val="009F6E28"/>
    <w:rsid w:val="009F7B50"/>
    <w:rsid w:val="00A008C3"/>
    <w:rsid w:val="00A0120F"/>
    <w:rsid w:val="00A01286"/>
    <w:rsid w:val="00A0197D"/>
    <w:rsid w:val="00A02501"/>
    <w:rsid w:val="00A04B35"/>
    <w:rsid w:val="00A04F6E"/>
    <w:rsid w:val="00A07074"/>
    <w:rsid w:val="00A07D49"/>
    <w:rsid w:val="00A10D71"/>
    <w:rsid w:val="00A1118B"/>
    <w:rsid w:val="00A11C56"/>
    <w:rsid w:val="00A128D4"/>
    <w:rsid w:val="00A13BB2"/>
    <w:rsid w:val="00A14657"/>
    <w:rsid w:val="00A1529C"/>
    <w:rsid w:val="00A16334"/>
    <w:rsid w:val="00A16961"/>
    <w:rsid w:val="00A173B2"/>
    <w:rsid w:val="00A17430"/>
    <w:rsid w:val="00A177A3"/>
    <w:rsid w:val="00A178B2"/>
    <w:rsid w:val="00A17F59"/>
    <w:rsid w:val="00A20678"/>
    <w:rsid w:val="00A2087E"/>
    <w:rsid w:val="00A225A0"/>
    <w:rsid w:val="00A22C0F"/>
    <w:rsid w:val="00A22C91"/>
    <w:rsid w:val="00A242D2"/>
    <w:rsid w:val="00A24334"/>
    <w:rsid w:val="00A24F5C"/>
    <w:rsid w:val="00A26126"/>
    <w:rsid w:val="00A264AC"/>
    <w:rsid w:val="00A26C04"/>
    <w:rsid w:val="00A26C27"/>
    <w:rsid w:val="00A309FC"/>
    <w:rsid w:val="00A322BA"/>
    <w:rsid w:val="00A325BC"/>
    <w:rsid w:val="00A33F38"/>
    <w:rsid w:val="00A34965"/>
    <w:rsid w:val="00A35009"/>
    <w:rsid w:val="00A35CCB"/>
    <w:rsid w:val="00A35DB5"/>
    <w:rsid w:val="00A36111"/>
    <w:rsid w:val="00A361B5"/>
    <w:rsid w:val="00A362D2"/>
    <w:rsid w:val="00A36676"/>
    <w:rsid w:val="00A3698B"/>
    <w:rsid w:val="00A36E0A"/>
    <w:rsid w:val="00A36E31"/>
    <w:rsid w:val="00A36E38"/>
    <w:rsid w:val="00A375F6"/>
    <w:rsid w:val="00A37EA1"/>
    <w:rsid w:val="00A411F8"/>
    <w:rsid w:val="00A41800"/>
    <w:rsid w:val="00A43065"/>
    <w:rsid w:val="00A4333C"/>
    <w:rsid w:val="00A43A5E"/>
    <w:rsid w:val="00A44002"/>
    <w:rsid w:val="00A45F8F"/>
    <w:rsid w:val="00A50483"/>
    <w:rsid w:val="00A509C0"/>
    <w:rsid w:val="00A50D88"/>
    <w:rsid w:val="00A54E23"/>
    <w:rsid w:val="00A54F91"/>
    <w:rsid w:val="00A55232"/>
    <w:rsid w:val="00A55675"/>
    <w:rsid w:val="00A55813"/>
    <w:rsid w:val="00A569BF"/>
    <w:rsid w:val="00A5799E"/>
    <w:rsid w:val="00A60327"/>
    <w:rsid w:val="00A607C1"/>
    <w:rsid w:val="00A6115C"/>
    <w:rsid w:val="00A63BF8"/>
    <w:rsid w:val="00A65A26"/>
    <w:rsid w:val="00A65FB2"/>
    <w:rsid w:val="00A6646B"/>
    <w:rsid w:val="00A66AD6"/>
    <w:rsid w:val="00A67328"/>
    <w:rsid w:val="00A678FB"/>
    <w:rsid w:val="00A67CA9"/>
    <w:rsid w:val="00A67DDE"/>
    <w:rsid w:val="00A706ED"/>
    <w:rsid w:val="00A7165B"/>
    <w:rsid w:val="00A7186F"/>
    <w:rsid w:val="00A72269"/>
    <w:rsid w:val="00A738FD"/>
    <w:rsid w:val="00A74C3D"/>
    <w:rsid w:val="00A750FF"/>
    <w:rsid w:val="00A75C04"/>
    <w:rsid w:val="00A75E53"/>
    <w:rsid w:val="00A7773A"/>
    <w:rsid w:val="00A812B2"/>
    <w:rsid w:val="00A81466"/>
    <w:rsid w:val="00A81F51"/>
    <w:rsid w:val="00A82B05"/>
    <w:rsid w:val="00A83423"/>
    <w:rsid w:val="00A8442C"/>
    <w:rsid w:val="00A8446C"/>
    <w:rsid w:val="00A84FFD"/>
    <w:rsid w:val="00A8528D"/>
    <w:rsid w:val="00A85E25"/>
    <w:rsid w:val="00A864AE"/>
    <w:rsid w:val="00A86FE4"/>
    <w:rsid w:val="00A87093"/>
    <w:rsid w:val="00A8724D"/>
    <w:rsid w:val="00A87B5B"/>
    <w:rsid w:val="00A90C46"/>
    <w:rsid w:val="00A9151A"/>
    <w:rsid w:val="00A91AC6"/>
    <w:rsid w:val="00A92B58"/>
    <w:rsid w:val="00A92C43"/>
    <w:rsid w:val="00A93709"/>
    <w:rsid w:val="00A9429C"/>
    <w:rsid w:val="00A9446A"/>
    <w:rsid w:val="00A94D38"/>
    <w:rsid w:val="00A950C6"/>
    <w:rsid w:val="00A95D4A"/>
    <w:rsid w:val="00A97A63"/>
    <w:rsid w:val="00AA13B1"/>
    <w:rsid w:val="00AA2DC3"/>
    <w:rsid w:val="00AA360D"/>
    <w:rsid w:val="00AA3F7E"/>
    <w:rsid w:val="00AA52C3"/>
    <w:rsid w:val="00AA58C2"/>
    <w:rsid w:val="00AA5E27"/>
    <w:rsid w:val="00AA60AC"/>
    <w:rsid w:val="00AA69BB"/>
    <w:rsid w:val="00AB002E"/>
    <w:rsid w:val="00AB0A02"/>
    <w:rsid w:val="00AB101A"/>
    <w:rsid w:val="00AB13BF"/>
    <w:rsid w:val="00AB1F11"/>
    <w:rsid w:val="00AB287F"/>
    <w:rsid w:val="00AB2F0A"/>
    <w:rsid w:val="00AB371B"/>
    <w:rsid w:val="00AB3B29"/>
    <w:rsid w:val="00AB4489"/>
    <w:rsid w:val="00AB4A26"/>
    <w:rsid w:val="00AB5789"/>
    <w:rsid w:val="00AB7043"/>
    <w:rsid w:val="00AB7BF6"/>
    <w:rsid w:val="00AC0CA8"/>
    <w:rsid w:val="00AC0D78"/>
    <w:rsid w:val="00AC0ECE"/>
    <w:rsid w:val="00AC1F80"/>
    <w:rsid w:val="00AC282F"/>
    <w:rsid w:val="00AC46CC"/>
    <w:rsid w:val="00AC5B01"/>
    <w:rsid w:val="00AC6844"/>
    <w:rsid w:val="00AC753C"/>
    <w:rsid w:val="00AC7968"/>
    <w:rsid w:val="00AD0B20"/>
    <w:rsid w:val="00AD0BE3"/>
    <w:rsid w:val="00AD1D92"/>
    <w:rsid w:val="00AD1D93"/>
    <w:rsid w:val="00AD2A81"/>
    <w:rsid w:val="00AD2ABA"/>
    <w:rsid w:val="00AD2EF2"/>
    <w:rsid w:val="00AD59C4"/>
    <w:rsid w:val="00AD6754"/>
    <w:rsid w:val="00AD77A5"/>
    <w:rsid w:val="00AE0051"/>
    <w:rsid w:val="00AE0D0F"/>
    <w:rsid w:val="00AE0E96"/>
    <w:rsid w:val="00AE1F36"/>
    <w:rsid w:val="00AE2004"/>
    <w:rsid w:val="00AE2460"/>
    <w:rsid w:val="00AE4036"/>
    <w:rsid w:val="00AE42AD"/>
    <w:rsid w:val="00AE5A33"/>
    <w:rsid w:val="00AE6032"/>
    <w:rsid w:val="00AE609E"/>
    <w:rsid w:val="00AE7047"/>
    <w:rsid w:val="00AE7454"/>
    <w:rsid w:val="00AE7EB5"/>
    <w:rsid w:val="00AF17CC"/>
    <w:rsid w:val="00AF2F4C"/>
    <w:rsid w:val="00AF3F2F"/>
    <w:rsid w:val="00AF4964"/>
    <w:rsid w:val="00AF66C3"/>
    <w:rsid w:val="00AF66DC"/>
    <w:rsid w:val="00AF78DB"/>
    <w:rsid w:val="00AF7E66"/>
    <w:rsid w:val="00B00A72"/>
    <w:rsid w:val="00B00FEA"/>
    <w:rsid w:val="00B014FC"/>
    <w:rsid w:val="00B026A1"/>
    <w:rsid w:val="00B02D4B"/>
    <w:rsid w:val="00B03066"/>
    <w:rsid w:val="00B033CC"/>
    <w:rsid w:val="00B041D6"/>
    <w:rsid w:val="00B048DD"/>
    <w:rsid w:val="00B05F97"/>
    <w:rsid w:val="00B11CF0"/>
    <w:rsid w:val="00B1220C"/>
    <w:rsid w:val="00B12E15"/>
    <w:rsid w:val="00B1305F"/>
    <w:rsid w:val="00B139C6"/>
    <w:rsid w:val="00B148A9"/>
    <w:rsid w:val="00B14D88"/>
    <w:rsid w:val="00B1582A"/>
    <w:rsid w:val="00B20C56"/>
    <w:rsid w:val="00B20EC9"/>
    <w:rsid w:val="00B20F2E"/>
    <w:rsid w:val="00B21FAA"/>
    <w:rsid w:val="00B22539"/>
    <w:rsid w:val="00B22D05"/>
    <w:rsid w:val="00B23349"/>
    <w:rsid w:val="00B23638"/>
    <w:rsid w:val="00B23733"/>
    <w:rsid w:val="00B23737"/>
    <w:rsid w:val="00B2467C"/>
    <w:rsid w:val="00B24EDB"/>
    <w:rsid w:val="00B25639"/>
    <w:rsid w:val="00B2642E"/>
    <w:rsid w:val="00B26D39"/>
    <w:rsid w:val="00B27D45"/>
    <w:rsid w:val="00B3057D"/>
    <w:rsid w:val="00B3177D"/>
    <w:rsid w:val="00B32349"/>
    <w:rsid w:val="00B326A5"/>
    <w:rsid w:val="00B338BC"/>
    <w:rsid w:val="00B338CD"/>
    <w:rsid w:val="00B33D39"/>
    <w:rsid w:val="00B342B9"/>
    <w:rsid w:val="00B351DB"/>
    <w:rsid w:val="00B35482"/>
    <w:rsid w:val="00B358CC"/>
    <w:rsid w:val="00B360FC"/>
    <w:rsid w:val="00B370B7"/>
    <w:rsid w:val="00B372E3"/>
    <w:rsid w:val="00B375DE"/>
    <w:rsid w:val="00B4018A"/>
    <w:rsid w:val="00B40C60"/>
    <w:rsid w:val="00B4108E"/>
    <w:rsid w:val="00B41F92"/>
    <w:rsid w:val="00B4245D"/>
    <w:rsid w:val="00B42E43"/>
    <w:rsid w:val="00B438D7"/>
    <w:rsid w:val="00B43F55"/>
    <w:rsid w:val="00B44532"/>
    <w:rsid w:val="00B44836"/>
    <w:rsid w:val="00B44DC6"/>
    <w:rsid w:val="00B461D9"/>
    <w:rsid w:val="00B46E4E"/>
    <w:rsid w:val="00B4740C"/>
    <w:rsid w:val="00B47DBA"/>
    <w:rsid w:val="00B50128"/>
    <w:rsid w:val="00B51466"/>
    <w:rsid w:val="00B520F5"/>
    <w:rsid w:val="00B52661"/>
    <w:rsid w:val="00B528FE"/>
    <w:rsid w:val="00B5292F"/>
    <w:rsid w:val="00B53325"/>
    <w:rsid w:val="00B53A66"/>
    <w:rsid w:val="00B55214"/>
    <w:rsid w:val="00B55306"/>
    <w:rsid w:val="00B56E05"/>
    <w:rsid w:val="00B574EC"/>
    <w:rsid w:val="00B57C06"/>
    <w:rsid w:val="00B6010F"/>
    <w:rsid w:val="00B60DA4"/>
    <w:rsid w:val="00B6112A"/>
    <w:rsid w:val="00B632CF"/>
    <w:rsid w:val="00B6431A"/>
    <w:rsid w:val="00B649E1"/>
    <w:rsid w:val="00B65047"/>
    <w:rsid w:val="00B6699A"/>
    <w:rsid w:val="00B66DFB"/>
    <w:rsid w:val="00B670F9"/>
    <w:rsid w:val="00B67C11"/>
    <w:rsid w:val="00B67FCB"/>
    <w:rsid w:val="00B70010"/>
    <w:rsid w:val="00B70434"/>
    <w:rsid w:val="00B70573"/>
    <w:rsid w:val="00B70773"/>
    <w:rsid w:val="00B710A3"/>
    <w:rsid w:val="00B7114A"/>
    <w:rsid w:val="00B7139A"/>
    <w:rsid w:val="00B72834"/>
    <w:rsid w:val="00B737ED"/>
    <w:rsid w:val="00B738F3"/>
    <w:rsid w:val="00B7460F"/>
    <w:rsid w:val="00B74621"/>
    <w:rsid w:val="00B75847"/>
    <w:rsid w:val="00B761B1"/>
    <w:rsid w:val="00B767B3"/>
    <w:rsid w:val="00B773C5"/>
    <w:rsid w:val="00B777FF"/>
    <w:rsid w:val="00B80276"/>
    <w:rsid w:val="00B80E27"/>
    <w:rsid w:val="00B811B2"/>
    <w:rsid w:val="00B81984"/>
    <w:rsid w:val="00B8356D"/>
    <w:rsid w:val="00B83CF2"/>
    <w:rsid w:val="00B8508F"/>
    <w:rsid w:val="00B85288"/>
    <w:rsid w:val="00B85585"/>
    <w:rsid w:val="00B90C7F"/>
    <w:rsid w:val="00B90CB0"/>
    <w:rsid w:val="00B9199B"/>
    <w:rsid w:val="00B91A5B"/>
    <w:rsid w:val="00B923C3"/>
    <w:rsid w:val="00B92515"/>
    <w:rsid w:val="00B928BE"/>
    <w:rsid w:val="00B930CA"/>
    <w:rsid w:val="00B931E1"/>
    <w:rsid w:val="00B93C98"/>
    <w:rsid w:val="00B94CF2"/>
    <w:rsid w:val="00B9564E"/>
    <w:rsid w:val="00B97A67"/>
    <w:rsid w:val="00BA0D13"/>
    <w:rsid w:val="00BA118E"/>
    <w:rsid w:val="00BA3260"/>
    <w:rsid w:val="00BA42D7"/>
    <w:rsid w:val="00BA487C"/>
    <w:rsid w:val="00BA5309"/>
    <w:rsid w:val="00BA546F"/>
    <w:rsid w:val="00BA5F96"/>
    <w:rsid w:val="00BA6771"/>
    <w:rsid w:val="00BA6BFF"/>
    <w:rsid w:val="00BA6EAC"/>
    <w:rsid w:val="00BA7344"/>
    <w:rsid w:val="00BA739C"/>
    <w:rsid w:val="00BB103D"/>
    <w:rsid w:val="00BB1D0A"/>
    <w:rsid w:val="00BB267F"/>
    <w:rsid w:val="00BB2DDE"/>
    <w:rsid w:val="00BB324A"/>
    <w:rsid w:val="00BB3CB0"/>
    <w:rsid w:val="00BB4270"/>
    <w:rsid w:val="00BB4ED9"/>
    <w:rsid w:val="00BB535A"/>
    <w:rsid w:val="00BB55CE"/>
    <w:rsid w:val="00BB5E04"/>
    <w:rsid w:val="00BB5FD5"/>
    <w:rsid w:val="00BB68D8"/>
    <w:rsid w:val="00BB7E50"/>
    <w:rsid w:val="00BC1FB5"/>
    <w:rsid w:val="00BC287D"/>
    <w:rsid w:val="00BC288C"/>
    <w:rsid w:val="00BC3219"/>
    <w:rsid w:val="00BC33CD"/>
    <w:rsid w:val="00BC387D"/>
    <w:rsid w:val="00BC4487"/>
    <w:rsid w:val="00BC5FBE"/>
    <w:rsid w:val="00BD1BD7"/>
    <w:rsid w:val="00BD25BE"/>
    <w:rsid w:val="00BD2DF6"/>
    <w:rsid w:val="00BD3094"/>
    <w:rsid w:val="00BD51A6"/>
    <w:rsid w:val="00BD54A2"/>
    <w:rsid w:val="00BD5799"/>
    <w:rsid w:val="00BD5A7E"/>
    <w:rsid w:val="00BD5EA9"/>
    <w:rsid w:val="00BD6B53"/>
    <w:rsid w:val="00BD705F"/>
    <w:rsid w:val="00BD7135"/>
    <w:rsid w:val="00BE0E72"/>
    <w:rsid w:val="00BE2CC0"/>
    <w:rsid w:val="00BE416D"/>
    <w:rsid w:val="00BE52E8"/>
    <w:rsid w:val="00BE53C2"/>
    <w:rsid w:val="00BE62BB"/>
    <w:rsid w:val="00BE719F"/>
    <w:rsid w:val="00BE7B2C"/>
    <w:rsid w:val="00BE7F9D"/>
    <w:rsid w:val="00BF0911"/>
    <w:rsid w:val="00BF0FC5"/>
    <w:rsid w:val="00BF1A30"/>
    <w:rsid w:val="00BF1BDA"/>
    <w:rsid w:val="00BF2763"/>
    <w:rsid w:val="00BF27AB"/>
    <w:rsid w:val="00BF2C5D"/>
    <w:rsid w:val="00BF3777"/>
    <w:rsid w:val="00BF3926"/>
    <w:rsid w:val="00BF4833"/>
    <w:rsid w:val="00BF5E95"/>
    <w:rsid w:val="00BF6BDB"/>
    <w:rsid w:val="00BF7092"/>
    <w:rsid w:val="00BF7F25"/>
    <w:rsid w:val="00BF7FC2"/>
    <w:rsid w:val="00C00177"/>
    <w:rsid w:val="00C00475"/>
    <w:rsid w:val="00C01BDF"/>
    <w:rsid w:val="00C01E21"/>
    <w:rsid w:val="00C01FBF"/>
    <w:rsid w:val="00C0262C"/>
    <w:rsid w:val="00C027A3"/>
    <w:rsid w:val="00C03136"/>
    <w:rsid w:val="00C03D27"/>
    <w:rsid w:val="00C054EA"/>
    <w:rsid w:val="00C0565F"/>
    <w:rsid w:val="00C057CB"/>
    <w:rsid w:val="00C06828"/>
    <w:rsid w:val="00C06F33"/>
    <w:rsid w:val="00C07CD2"/>
    <w:rsid w:val="00C103E2"/>
    <w:rsid w:val="00C10D2F"/>
    <w:rsid w:val="00C119D7"/>
    <w:rsid w:val="00C12259"/>
    <w:rsid w:val="00C128A1"/>
    <w:rsid w:val="00C12A7E"/>
    <w:rsid w:val="00C13B82"/>
    <w:rsid w:val="00C13CE6"/>
    <w:rsid w:val="00C13F00"/>
    <w:rsid w:val="00C140E4"/>
    <w:rsid w:val="00C144DD"/>
    <w:rsid w:val="00C14C98"/>
    <w:rsid w:val="00C15549"/>
    <w:rsid w:val="00C15EA3"/>
    <w:rsid w:val="00C16441"/>
    <w:rsid w:val="00C20896"/>
    <w:rsid w:val="00C20D7F"/>
    <w:rsid w:val="00C216C3"/>
    <w:rsid w:val="00C2261D"/>
    <w:rsid w:val="00C22721"/>
    <w:rsid w:val="00C22AC6"/>
    <w:rsid w:val="00C23613"/>
    <w:rsid w:val="00C246CD"/>
    <w:rsid w:val="00C24977"/>
    <w:rsid w:val="00C2498B"/>
    <w:rsid w:val="00C26AFC"/>
    <w:rsid w:val="00C26F3F"/>
    <w:rsid w:val="00C2719F"/>
    <w:rsid w:val="00C302FD"/>
    <w:rsid w:val="00C305F7"/>
    <w:rsid w:val="00C30F78"/>
    <w:rsid w:val="00C310D6"/>
    <w:rsid w:val="00C314AF"/>
    <w:rsid w:val="00C33411"/>
    <w:rsid w:val="00C33673"/>
    <w:rsid w:val="00C337EC"/>
    <w:rsid w:val="00C3443B"/>
    <w:rsid w:val="00C3444C"/>
    <w:rsid w:val="00C36BE1"/>
    <w:rsid w:val="00C40C69"/>
    <w:rsid w:val="00C41958"/>
    <w:rsid w:val="00C41B37"/>
    <w:rsid w:val="00C42C2E"/>
    <w:rsid w:val="00C44684"/>
    <w:rsid w:val="00C448C3"/>
    <w:rsid w:val="00C4499A"/>
    <w:rsid w:val="00C44DF3"/>
    <w:rsid w:val="00C4551F"/>
    <w:rsid w:val="00C45682"/>
    <w:rsid w:val="00C45C96"/>
    <w:rsid w:val="00C46650"/>
    <w:rsid w:val="00C47278"/>
    <w:rsid w:val="00C478D6"/>
    <w:rsid w:val="00C5084F"/>
    <w:rsid w:val="00C522CB"/>
    <w:rsid w:val="00C5246C"/>
    <w:rsid w:val="00C53AED"/>
    <w:rsid w:val="00C53F79"/>
    <w:rsid w:val="00C543F7"/>
    <w:rsid w:val="00C5483F"/>
    <w:rsid w:val="00C54C3F"/>
    <w:rsid w:val="00C551CB"/>
    <w:rsid w:val="00C56427"/>
    <w:rsid w:val="00C5656D"/>
    <w:rsid w:val="00C5672D"/>
    <w:rsid w:val="00C574F0"/>
    <w:rsid w:val="00C57E27"/>
    <w:rsid w:val="00C60EB8"/>
    <w:rsid w:val="00C60EE4"/>
    <w:rsid w:val="00C60F71"/>
    <w:rsid w:val="00C614EE"/>
    <w:rsid w:val="00C6230A"/>
    <w:rsid w:val="00C62641"/>
    <w:rsid w:val="00C626D3"/>
    <w:rsid w:val="00C626E8"/>
    <w:rsid w:val="00C627E7"/>
    <w:rsid w:val="00C6344B"/>
    <w:rsid w:val="00C63463"/>
    <w:rsid w:val="00C63AEB"/>
    <w:rsid w:val="00C651C8"/>
    <w:rsid w:val="00C651FD"/>
    <w:rsid w:val="00C6611D"/>
    <w:rsid w:val="00C70547"/>
    <w:rsid w:val="00C71229"/>
    <w:rsid w:val="00C71289"/>
    <w:rsid w:val="00C71B89"/>
    <w:rsid w:val="00C72347"/>
    <w:rsid w:val="00C72427"/>
    <w:rsid w:val="00C74FDE"/>
    <w:rsid w:val="00C752E1"/>
    <w:rsid w:val="00C76BE6"/>
    <w:rsid w:val="00C77CFD"/>
    <w:rsid w:val="00C80258"/>
    <w:rsid w:val="00C8028C"/>
    <w:rsid w:val="00C809CE"/>
    <w:rsid w:val="00C81DE3"/>
    <w:rsid w:val="00C83608"/>
    <w:rsid w:val="00C837F9"/>
    <w:rsid w:val="00C839EE"/>
    <w:rsid w:val="00C84A7A"/>
    <w:rsid w:val="00C85066"/>
    <w:rsid w:val="00C8552D"/>
    <w:rsid w:val="00C8591A"/>
    <w:rsid w:val="00C86486"/>
    <w:rsid w:val="00C86A72"/>
    <w:rsid w:val="00C86AAF"/>
    <w:rsid w:val="00C87520"/>
    <w:rsid w:val="00C90E87"/>
    <w:rsid w:val="00C9197B"/>
    <w:rsid w:val="00C92200"/>
    <w:rsid w:val="00C92B17"/>
    <w:rsid w:val="00C92DD1"/>
    <w:rsid w:val="00C93769"/>
    <w:rsid w:val="00C93E35"/>
    <w:rsid w:val="00C94570"/>
    <w:rsid w:val="00C94649"/>
    <w:rsid w:val="00C95324"/>
    <w:rsid w:val="00C95E66"/>
    <w:rsid w:val="00C960EC"/>
    <w:rsid w:val="00C9670B"/>
    <w:rsid w:val="00C96B5A"/>
    <w:rsid w:val="00C977D0"/>
    <w:rsid w:val="00C97BB6"/>
    <w:rsid w:val="00CA042B"/>
    <w:rsid w:val="00CA11DE"/>
    <w:rsid w:val="00CA17FF"/>
    <w:rsid w:val="00CA1ECB"/>
    <w:rsid w:val="00CA216B"/>
    <w:rsid w:val="00CA31AA"/>
    <w:rsid w:val="00CA3A57"/>
    <w:rsid w:val="00CA4B2C"/>
    <w:rsid w:val="00CA502F"/>
    <w:rsid w:val="00CA5A84"/>
    <w:rsid w:val="00CA5F4E"/>
    <w:rsid w:val="00CA77ED"/>
    <w:rsid w:val="00CA7C02"/>
    <w:rsid w:val="00CB0296"/>
    <w:rsid w:val="00CB16AE"/>
    <w:rsid w:val="00CB2ACE"/>
    <w:rsid w:val="00CB307F"/>
    <w:rsid w:val="00CB4BAC"/>
    <w:rsid w:val="00CB4F8E"/>
    <w:rsid w:val="00CB615E"/>
    <w:rsid w:val="00CB676C"/>
    <w:rsid w:val="00CB6A89"/>
    <w:rsid w:val="00CB7DCC"/>
    <w:rsid w:val="00CC14BC"/>
    <w:rsid w:val="00CC1E68"/>
    <w:rsid w:val="00CC1F28"/>
    <w:rsid w:val="00CC22C3"/>
    <w:rsid w:val="00CC2ED8"/>
    <w:rsid w:val="00CC30FD"/>
    <w:rsid w:val="00CC31FF"/>
    <w:rsid w:val="00CC3E1F"/>
    <w:rsid w:val="00CC415C"/>
    <w:rsid w:val="00CC5C13"/>
    <w:rsid w:val="00CC77E4"/>
    <w:rsid w:val="00CD040D"/>
    <w:rsid w:val="00CD2178"/>
    <w:rsid w:val="00CD2359"/>
    <w:rsid w:val="00CD2503"/>
    <w:rsid w:val="00CD3777"/>
    <w:rsid w:val="00CD3B9B"/>
    <w:rsid w:val="00CD3E14"/>
    <w:rsid w:val="00CD4521"/>
    <w:rsid w:val="00CD5134"/>
    <w:rsid w:val="00CD541E"/>
    <w:rsid w:val="00CD6451"/>
    <w:rsid w:val="00CD6EF6"/>
    <w:rsid w:val="00CD78C8"/>
    <w:rsid w:val="00CD7A2C"/>
    <w:rsid w:val="00CE0FDD"/>
    <w:rsid w:val="00CE16A6"/>
    <w:rsid w:val="00CE1A32"/>
    <w:rsid w:val="00CE1ECC"/>
    <w:rsid w:val="00CE29BA"/>
    <w:rsid w:val="00CE2C1A"/>
    <w:rsid w:val="00CE2FA8"/>
    <w:rsid w:val="00CE3392"/>
    <w:rsid w:val="00CE3D2E"/>
    <w:rsid w:val="00CE4D94"/>
    <w:rsid w:val="00CE51BC"/>
    <w:rsid w:val="00CE5509"/>
    <w:rsid w:val="00CE5DE5"/>
    <w:rsid w:val="00CE674F"/>
    <w:rsid w:val="00CE6A98"/>
    <w:rsid w:val="00CE6C34"/>
    <w:rsid w:val="00CE6CD9"/>
    <w:rsid w:val="00CE7032"/>
    <w:rsid w:val="00CE772E"/>
    <w:rsid w:val="00CF0003"/>
    <w:rsid w:val="00CF02F8"/>
    <w:rsid w:val="00CF0B55"/>
    <w:rsid w:val="00CF1184"/>
    <w:rsid w:val="00CF1797"/>
    <w:rsid w:val="00CF185B"/>
    <w:rsid w:val="00CF2329"/>
    <w:rsid w:val="00CF26A4"/>
    <w:rsid w:val="00CF42FB"/>
    <w:rsid w:val="00CF437B"/>
    <w:rsid w:val="00CF5750"/>
    <w:rsid w:val="00CF584F"/>
    <w:rsid w:val="00CF641B"/>
    <w:rsid w:val="00CF68A6"/>
    <w:rsid w:val="00CF69D4"/>
    <w:rsid w:val="00CF6E43"/>
    <w:rsid w:val="00CF6F93"/>
    <w:rsid w:val="00CF705F"/>
    <w:rsid w:val="00D0027C"/>
    <w:rsid w:val="00D003C2"/>
    <w:rsid w:val="00D01A0B"/>
    <w:rsid w:val="00D027F9"/>
    <w:rsid w:val="00D03462"/>
    <w:rsid w:val="00D03606"/>
    <w:rsid w:val="00D03D95"/>
    <w:rsid w:val="00D04165"/>
    <w:rsid w:val="00D04EA1"/>
    <w:rsid w:val="00D06EAE"/>
    <w:rsid w:val="00D0755F"/>
    <w:rsid w:val="00D07645"/>
    <w:rsid w:val="00D07A95"/>
    <w:rsid w:val="00D1298A"/>
    <w:rsid w:val="00D12AA3"/>
    <w:rsid w:val="00D12F71"/>
    <w:rsid w:val="00D13078"/>
    <w:rsid w:val="00D13DBF"/>
    <w:rsid w:val="00D141C7"/>
    <w:rsid w:val="00D145D0"/>
    <w:rsid w:val="00D14E34"/>
    <w:rsid w:val="00D164EA"/>
    <w:rsid w:val="00D205E7"/>
    <w:rsid w:val="00D22828"/>
    <w:rsid w:val="00D23752"/>
    <w:rsid w:val="00D24D33"/>
    <w:rsid w:val="00D25A87"/>
    <w:rsid w:val="00D2789E"/>
    <w:rsid w:val="00D32292"/>
    <w:rsid w:val="00D328D9"/>
    <w:rsid w:val="00D32E71"/>
    <w:rsid w:val="00D32F79"/>
    <w:rsid w:val="00D337FE"/>
    <w:rsid w:val="00D3387E"/>
    <w:rsid w:val="00D3551F"/>
    <w:rsid w:val="00D377D6"/>
    <w:rsid w:val="00D4012D"/>
    <w:rsid w:val="00D40363"/>
    <w:rsid w:val="00D40984"/>
    <w:rsid w:val="00D40A25"/>
    <w:rsid w:val="00D40CE9"/>
    <w:rsid w:val="00D4178E"/>
    <w:rsid w:val="00D4183C"/>
    <w:rsid w:val="00D41A69"/>
    <w:rsid w:val="00D4200B"/>
    <w:rsid w:val="00D4306D"/>
    <w:rsid w:val="00D437CE"/>
    <w:rsid w:val="00D44E66"/>
    <w:rsid w:val="00D45137"/>
    <w:rsid w:val="00D45204"/>
    <w:rsid w:val="00D45385"/>
    <w:rsid w:val="00D45529"/>
    <w:rsid w:val="00D45933"/>
    <w:rsid w:val="00D461D2"/>
    <w:rsid w:val="00D4624C"/>
    <w:rsid w:val="00D465E6"/>
    <w:rsid w:val="00D467C9"/>
    <w:rsid w:val="00D46866"/>
    <w:rsid w:val="00D477B4"/>
    <w:rsid w:val="00D503D5"/>
    <w:rsid w:val="00D51580"/>
    <w:rsid w:val="00D52FF1"/>
    <w:rsid w:val="00D5388E"/>
    <w:rsid w:val="00D53FC7"/>
    <w:rsid w:val="00D549DA"/>
    <w:rsid w:val="00D55214"/>
    <w:rsid w:val="00D55C8A"/>
    <w:rsid w:val="00D56640"/>
    <w:rsid w:val="00D57CDC"/>
    <w:rsid w:val="00D60338"/>
    <w:rsid w:val="00D665B4"/>
    <w:rsid w:val="00D704F7"/>
    <w:rsid w:val="00D70B4C"/>
    <w:rsid w:val="00D71F35"/>
    <w:rsid w:val="00D7206A"/>
    <w:rsid w:val="00D728B6"/>
    <w:rsid w:val="00D72DF8"/>
    <w:rsid w:val="00D74758"/>
    <w:rsid w:val="00D75C16"/>
    <w:rsid w:val="00D801C4"/>
    <w:rsid w:val="00D806C6"/>
    <w:rsid w:val="00D80CE7"/>
    <w:rsid w:val="00D810F7"/>
    <w:rsid w:val="00D83071"/>
    <w:rsid w:val="00D8398D"/>
    <w:rsid w:val="00D83B09"/>
    <w:rsid w:val="00D85575"/>
    <w:rsid w:val="00D8562C"/>
    <w:rsid w:val="00D870DC"/>
    <w:rsid w:val="00D870FB"/>
    <w:rsid w:val="00D87982"/>
    <w:rsid w:val="00D87AD7"/>
    <w:rsid w:val="00D87D58"/>
    <w:rsid w:val="00D9052F"/>
    <w:rsid w:val="00D90A08"/>
    <w:rsid w:val="00D90B0E"/>
    <w:rsid w:val="00D9165E"/>
    <w:rsid w:val="00D91D35"/>
    <w:rsid w:val="00D93BD4"/>
    <w:rsid w:val="00D93BDA"/>
    <w:rsid w:val="00D93DF1"/>
    <w:rsid w:val="00D953A1"/>
    <w:rsid w:val="00D95942"/>
    <w:rsid w:val="00D95DB1"/>
    <w:rsid w:val="00D962A8"/>
    <w:rsid w:val="00D96D27"/>
    <w:rsid w:val="00D973EE"/>
    <w:rsid w:val="00D97423"/>
    <w:rsid w:val="00DA0EAE"/>
    <w:rsid w:val="00DA0F38"/>
    <w:rsid w:val="00DA267A"/>
    <w:rsid w:val="00DA2F31"/>
    <w:rsid w:val="00DA3BD4"/>
    <w:rsid w:val="00DA469A"/>
    <w:rsid w:val="00DA482A"/>
    <w:rsid w:val="00DA4B60"/>
    <w:rsid w:val="00DA52C4"/>
    <w:rsid w:val="00DA6030"/>
    <w:rsid w:val="00DA68FC"/>
    <w:rsid w:val="00DA7370"/>
    <w:rsid w:val="00DA7524"/>
    <w:rsid w:val="00DA75BA"/>
    <w:rsid w:val="00DA7627"/>
    <w:rsid w:val="00DA7BEE"/>
    <w:rsid w:val="00DB114D"/>
    <w:rsid w:val="00DB14EF"/>
    <w:rsid w:val="00DB18F4"/>
    <w:rsid w:val="00DB1D3C"/>
    <w:rsid w:val="00DB26C4"/>
    <w:rsid w:val="00DB27D4"/>
    <w:rsid w:val="00DB33AC"/>
    <w:rsid w:val="00DB3CC9"/>
    <w:rsid w:val="00DB59D0"/>
    <w:rsid w:val="00DB5B96"/>
    <w:rsid w:val="00DC0C56"/>
    <w:rsid w:val="00DC0E59"/>
    <w:rsid w:val="00DC19D3"/>
    <w:rsid w:val="00DC2C62"/>
    <w:rsid w:val="00DC3928"/>
    <w:rsid w:val="00DC39F9"/>
    <w:rsid w:val="00DC497A"/>
    <w:rsid w:val="00DC5164"/>
    <w:rsid w:val="00DC53E2"/>
    <w:rsid w:val="00DC53EA"/>
    <w:rsid w:val="00DC5864"/>
    <w:rsid w:val="00DC614B"/>
    <w:rsid w:val="00DC6529"/>
    <w:rsid w:val="00DC7069"/>
    <w:rsid w:val="00DC7080"/>
    <w:rsid w:val="00DC73AB"/>
    <w:rsid w:val="00DD024F"/>
    <w:rsid w:val="00DD09A9"/>
    <w:rsid w:val="00DD0D3D"/>
    <w:rsid w:val="00DD0FE7"/>
    <w:rsid w:val="00DD1735"/>
    <w:rsid w:val="00DD2650"/>
    <w:rsid w:val="00DD337A"/>
    <w:rsid w:val="00DD356E"/>
    <w:rsid w:val="00DD39BF"/>
    <w:rsid w:val="00DD3C3E"/>
    <w:rsid w:val="00DD3C4E"/>
    <w:rsid w:val="00DD3F29"/>
    <w:rsid w:val="00DD569C"/>
    <w:rsid w:val="00DD5DFF"/>
    <w:rsid w:val="00DD6770"/>
    <w:rsid w:val="00DD6E36"/>
    <w:rsid w:val="00DD743F"/>
    <w:rsid w:val="00DD7716"/>
    <w:rsid w:val="00DD7ED3"/>
    <w:rsid w:val="00DE09A5"/>
    <w:rsid w:val="00DE0AAA"/>
    <w:rsid w:val="00DE13E7"/>
    <w:rsid w:val="00DE2B9C"/>
    <w:rsid w:val="00DE2EAC"/>
    <w:rsid w:val="00DE3DD4"/>
    <w:rsid w:val="00DE420C"/>
    <w:rsid w:val="00DE448E"/>
    <w:rsid w:val="00DF06C2"/>
    <w:rsid w:val="00DF0A06"/>
    <w:rsid w:val="00DF0A38"/>
    <w:rsid w:val="00DF0FDD"/>
    <w:rsid w:val="00DF1313"/>
    <w:rsid w:val="00DF1611"/>
    <w:rsid w:val="00DF1F07"/>
    <w:rsid w:val="00DF2084"/>
    <w:rsid w:val="00DF27A9"/>
    <w:rsid w:val="00DF3393"/>
    <w:rsid w:val="00DF3752"/>
    <w:rsid w:val="00DF3849"/>
    <w:rsid w:val="00DF3A28"/>
    <w:rsid w:val="00DF3B6F"/>
    <w:rsid w:val="00DF3E53"/>
    <w:rsid w:val="00DF4579"/>
    <w:rsid w:val="00DF5106"/>
    <w:rsid w:val="00DF5211"/>
    <w:rsid w:val="00DF5581"/>
    <w:rsid w:val="00DF5710"/>
    <w:rsid w:val="00E0127E"/>
    <w:rsid w:val="00E01299"/>
    <w:rsid w:val="00E02E08"/>
    <w:rsid w:val="00E036AB"/>
    <w:rsid w:val="00E0403C"/>
    <w:rsid w:val="00E04268"/>
    <w:rsid w:val="00E056AF"/>
    <w:rsid w:val="00E06825"/>
    <w:rsid w:val="00E06B54"/>
    <w:rsid w:val="00E0770C"/>
    <w:rsid w:val="00E10BFE"/>
    <w:rsid w:val="00E10C5C"/>
    <w:rsid w:val="00E124A9"/>
    <w:rsid w:val="00E12914"/>
    <w:rsid w:val="00E12BF7"/>
    <w:rsid w:val="00E13F3D"/>
    <w:rsid w:val="00E14206"/>
    <w:rsid w:val="00E14E3A"/>
    <w:rsid w:val="00E14F1F"/>
    <w:rsid w:val="00E15AC2"/>
    <w:rsid w:val="00E15D9C"/>
    <w:rsid w:val="00E167C0"/>
    <w:rsid w:val="00E17810"/>
    <w:rsid w:val="00E17B46"/>
    <w:rsid w:val="00E20D50"/>
    <w:rsid w:val="00E21358"/>
    <w:rsid w:val="00E21759"/>
    <w:rsid w:val="00E22545"/>
    <w:rsid w:val="00E23C5E"/>
    <w:rsid w:val="00E240DF"/>
    <w:rsid w:val="00E24F14"/>
    <w:rsid w:val="00E252B6"/>
    <w:rsid w:val="00E25A1A"/>
    <w:rsid w:val="00E25C9E"/>
    <w:rsid w:val="00E267B2"/>
    <w:rsid w:val="00E26E7B"/>
    <w:rsid w:val="00E27E4E"/>
    <w:rsid w:val="00E3018B"/>
    <w:rsid w:val="00E306E6"/>
    <w:rsid w:val="00E309E2"/>
    <w:rsid w:val="00E31A92"/>
    <w:rsid w:val="00E31E4B"/>
    <w:rsid w:val="00E323DA"/>
    <w:rsid w:val="00E32A6F"/>
    <w:rsid w:val="00E32AC4"/>
    <w:rsid w:val="00E34601"/>
    <w:rsid w:val="00E34648"/>
    <w:rsid w:val="00E34A63"/>
    <w:rsid w:val="00E35F66"/>
    <w:rsid w:val="00E36887"/>
    <w:rsid w:val="00E36E99"/>
    <w:rsid w:val="00E37F04"/>
    <w:rsid w:val="00E37FA6"/>
    <w:rsid w:val="00E414A7"/>
    <w:rsid w:val="00E42468"/>
    <w:rsid w:val="00E42B6A"/>
    <w:rsid w:val="00E42E13"/>
    <w:rsid w:val="00E435E3"/>
    <w:rsid w:val="00E439FD"/>
    <w:rsid w:val="00E43E2C"/>
    <w:rsid w:val="00E43EC3"/>
    <w:rsid w:val="00E4408F"/>
    <w:rsid w:val="00E440AB"/>
    <w:rsid w:val="00E440D0"/>
    <w:rsid w:val="00E44745"/>
    <w:rsid w:val="00E44D0E"/>
    <w:rsid w:val="00E462A3"/>
    <w:rsid w:val="00E47613"/>
    <w:rsid w:val="00E47B32"/>
    <w:rsid w:val="00E50E14"/>
    <w:rsid w:val="00E52667"/>
    <w:rsid w:val="00E52992"/>
    <w:rsid w:val="00E533D1"/>
    <w:rsid w:val="00E54D84"/>
    <w:rsid w:val="00E55899"/>
    <w:rsid w:val="00E55E81"/>
    <w:rsid w:val="00E56643"/>
    <w:rsid w:val="00E5776D"/>
    <w:rsid w:val="00E57E91"/>
    <w:rsid w:val="00E601F3"/>
    <w:rsid w:val="00E61EFA"/>
    <w:rsid w:val="00E62796"/>
    <w:rsid w:val="00E64ACB"/>
    <w:rsid w:val="00E6754D"/>
    <w:rsid w:val="00E67EF7"/>
    <w:rsid w:val="00E702ED"/>
    <w:rsid w:val="00E70410"/>
    <w:rsid w:val="00E7194B"/>
    <w:rsid w:val="00E71C5E"/>
    <w:rsid w:val="00E7303F"/>
    <w:rsid w:val="00E731FC"/>
    <w:rsid w:val="00E7340C"/>
    <w:rsid w:val="00E73E16"/>
    <w:rsid w:val="00E73E64"/>
    <w:rsid w:val="00E740A2"/>
    <w:rsid w:val="00E74AC4"/>
    <w:rsid w:val="00E760F2"/>
    <w:rsid w:val="00E763B7"/>
    <w:rsid w:val="00E81116"/>
    <w:rsid w:val="00E83974"/>
    <w:rsid w:val="00E83CEE"/>
    <w:rsid w:val="00E8444C"/>
    <w:rsid w:val="00E844F1"/>
    <w:rsid w:val="00E848D1"/>
    <w:rsid w:val="00E85551"/>
    <w:rsid w:val="00E85D3D"/>
    <w:rsid w:val="00E85EAD"/>
    <w:rsid w:val="00E87230"/>
    <w:rsid w:val="00E90D93"/>
    <w:rsid w:val="00E9169F"/>
    <w:rsid w:val="00E9265A"/>
    <w:rsid w:val="00E93FA1"/>
    <w:rsid w:val="00E95B81"/>
    <w:rsid w:val="00E96214"/>
    <w:rsid w:val="00E97DB5"/>
    <w:rsid w:val="00EA170C"/>
    <w:rsid w:val="00EA1FCD"/>
    <w:rsid w:val="00EA1FFB"/>
    <w:rsid w:val="00EA4EB5"/>
    <w:rsid w:val="00EA5D50"/>
    <w:rsid w:val="00EA67A4"/>
    <w:rsid w:val="00EA6ED9"/>
    <w:rsid w:val="00EA6F67"/>
    <w:rsid w:val="00EA7756"/>
    <w:rsid w:val="00EB04D0"/>
    <w:rsid w:val="00EB10BD"/>
    <w:rsid w:val="00EB12D2"/>
    <w:rsid w:val="00EB20A9"/>
    <w:rsid w:val="00EB2965"/>
    <w:rsid w:val="00EB2DE0"/>
    <w:rsid w:val="00EB4435"/>
    <w:rsid w:val="00EB4BC8"/>
    <w:rsid w:val="00EB4E0E"/>
    <w:rsid w:val="00EB534A"/>
    <w:rsid w:val="00EB605F"/>
    <w:rsid w:val="00EB6BB4"/>
    <w:rsid w:val="00EB6D82"/>
    <w:rsid w:val="00EB7625"/>
    <w:rsid w:val="00EC070B"/>
    <w:rsid w:val="00EC0B5A"/>
    <w:rsid w:val="00EC1820"/>
    <w:rsid w:val="00EC2C92"/>
    <w:rsid w:val="00EC3E8E"/>
    <w:rsid w:val="00EC46FD"/>
    <w:rsid w:val="00EC6584"/>
    <w:rsid w:val="00EC6CD2"/>
    <w:rsid w:val="00EC6EB0"/>
    <w:rsid w:val="00ED05DD"/>
    <w:rsid w:val="00ED0AAD"/>
    <w:rsid w:val="00ED0AFF"/>
    <w:rsid w:val="00ED0E7B"/>
    <w:rsid w:val="00ED1760"/>
    <w:rsid w:val="00ED1BF6"/>
    <w:rsid w:val="00ED1E81"/>
    <w:rsid w:val="00ED1F77"/>
    <w:rsid w:val="00ED338B"/>
    <w:rsid w:val="00ED33F7"/>
    <w:rsid w:val="00ED4488"/>
    <w:rsid w:val="00ED4E18"/>
    <w:rsid w:val="00ED5044"/>
    <w:rsid w:val="00ED5312"/>
    <w:rsid w:val="00ED5384"/>
    <w:rsid w:val="00ED53E8"/>
    <w:rsid w:val="00ED6033"/>
    <w:rsid w:val="00ED71FB"/>
    <w:rsid w:val="00ED7629"/>
    <w:rsid w:val="00EE043B"/>
    <w:rsid w:val="00EE1D80"/>
    <w:rsid w:val="00EE288A"/>
    <w:rsid w:val="00EE42B2"/>
    <w:rsid w:val="00EE45EF"/>
    <w:rsid w:val="00EE5542"/>
    <w:rsid w:val="00EE566D"/>
    <w:rsid w:val="00EE5EF5"/>
    <w:rsid w:val="00EF1F79"/>
    <w:rsid w:val="00EF23C7"/>
    <w:rsid w:val="00EF2BF9"/>
    <w:rsid w:val="00EF308D"/>
    <w:rsid w:val="00EF344C"/>
    <w:rsid w:val="00EF3ABF"/>
    <w:rsid w:val="00EF4027"/>
    <w:rsid w:val="00EF4360"/>
    <w:rsid w:val="00EF43A3"/>
    <w:rsid w:val="00EF4BB2"/>
    <w:rsid w:val="00EF53DB"/>
    <w:rsid w:val="00EF5D10"/>
    <w:rsid w:val="00EF6D02"/>
    <w:rsid w:val="00EF73D6"/>
    <w:rsid w:val="00EF7AE7"/>
    <w:rsid w:val="00F01FF7"/>
    <w:rsid w:val="00F026F8"/>
    <w:rsid w:val="00F029D7"/>
    <w:rsid w:val="00F02B24"/>
    <w:rsid w:val="00F02DE1"/>
    <w:rsid w:val="00F0422A"/>
    <w:rsid w:val="00F04D58"/>
    <w:rsid w:val="00F0538A"/>
    <w:rsid w:val="00F066E5"/>
    <w:rsid w:val="00F0798F"/>
    <w:rsid w:val="00F10CB3"/>
    <w:rsid w:val="00F113C8"/>
    <w:rsid w:val="00F11B3F"/>
    <w:rsid w:val="00F123F5"/>
    <w:rsid w:val="00F135E6"/>
    <w:rsid w:val="00F141B8"/>
    <w:rsid w:val="00F14B48"/>
    <w:rsid w:val="00F14F8B"/>
    <w:rsid w:val="00F15E44"/>
    <w:rsid w:val="00F16620"/>
    <w:rsid w:val="00F16785"/>
    <w:rsid w:val="00F177BC"/>
    <w:rsid w:val="00F20489"/>
    <w:rsid w:val="00F20D2E"/>
    <w:rsid w:val="00F229D8"/>
    <w:rsid w:val="00F22BC1"/>
    <w:rsid w:val="00F23328"/>
    <w:rsid w:val="00F238D3"/>
    <w:rsid w:val="00F2558B"/>
    <w:rsid w:val="00F27052"/>
    <w:rsid w:val="00F27EE8"/>
    <w:rsid w:val="00F300C0"/>
    <w:rsid w:val="00F307E6"/>
    <w:rsid w:val="00F30F33"/>
    <w:rsid w:val="00F31E3E"/>
    <w:rsid w:val="00F320F0"/>
    <w:rsid w:val="00F3285A"/>
    <w:rsid w:val="00F3342C"/>
    <w:rsid w:val="00F3370E"/>
    <w:rsid w:val="00F338A2"/>
    <w:rsid w:val="00F338CE"/>
    <w:rsid w:val="00F33DF0"/>
    <w:rsid w:val="00F3427D"/>
    <w:rsid w:val="00F34788"/>
    <w:rsid w:val="00F3695E"/>
    <w:rsid w:val="00F36DB9"/>
    <w:rsid w:val="00F36DF5"/>
    <w:rsid w:val="00F37F64"/>
    <w:rsid w:val="00F405DB"/>
    <w:rsid w:val="00F40EDB"/>
    <w:rsid w:val="00F4159E"/>
    <w:rsid w:val="00F4229A"/>
    <w:rsid w:val="00F423AA"/>
    <w:rsid w:val="00F42B37"/>
    <w:rsid w:val="00F43790"/>
    <w:rsid w:val="00F45C25"/>
    <w:rsid w:val="00F45C31"/>
    <w:rsid w:val="00F45CDF"/>
    <w:rsid w:val="00F460E4"/>
    <w:rsid w:val="00F47B7B"/>
    <w:rsid w:val="00F5017F"/>
    <w:rsid w:val="00F503A9"/>
    <w:rsid w:val="00F5091D"/>
    <w:rsid w:val="00F5127E"/>
    <w:rsid w:val="00F516A0"/>
    <w:rsid w:val="00F51A49"/>
    <w:rsid w:val="00F52797"/>
    <w:rsid w:val="00F54EFE"/>
    <w:rsid w:val="00F57DE6"/>
    <w:rsid w:val="00F6025E"/>
    <w:rsid w:val="00F606A4"/>
    <w:rsid w:val="00F61D92"/>
    <w:rsid w:val="00F62BBD"/>
    <w:rsid w:val="00F63141"/>
    <w:rsid w:val="00F641DE"/>
    <w:rsid w:val="00F64225"/>
    <w:rsid w:val="00F649C2"/>
    <w:rsid w:val="00F7082E"/>
    <w:rsid w:val="00F73009"/>
    <w:rsid w:val="00F73452"/>
    <w:rsid w:val="00F7612C"/>
    <w:rsid w:val="00F7684C"/>
    <w:rsid w:val="00F76FA1"/>
    <w:rsid w:val="00F77D50"/>
    <w:rsid w:val="00F80E9A"/>
    <w:rsid w:val="00F828F0"/>
    <w:rsid w:val="00F83187"/>
    <w:rsid w:val="00F832BB"/>
    <w:rsid w:val="00F835D8"/>
    <w:rsid w:val="00F83BAD"/>
    <w:rsid w:val="00F8406C"/>
    <w:rsid w:val="00F84BF8"/>
    <w:rsid w:val="00F84D45"/>
    <w:rsid w:val="00F85B10"/>
    <w:rsid w:val="00F8750B"/>
    <w:rsid w:val="00F9025D"/>
    <w:rsid w:val="00F90451"/>
    <w:rsid w:val="00F90779"/>
    <w:rsid w:val="00F910FA"/>
    <w:rsid w:val="00F91EE0"/>
    <w:rsid w:val="00F925E9"/>
    <w:rsid w:val="00F92DC4"/>
    <w:rsid w:val="00F93F2D"/>
    <w:rsid w:val="00F9479D"/>
    <w:rsid w:val="00F94CAC"/>
    <w:rsid w:val="00F95440"/>
    <w:rsid w:val="00F97543"/>
    <w:rsid w:val="00F97553"/>
    <w:rsid w:val="00F97D63"/>
    <w:rsid w:val="00FA0877"/>
    <w:rsid w:val="00FA157C"/>
    <w:rsid w:val="00FA204F"/>
    <w:rsid w:val="00FA389F"/>
    <w:rsid w:val="00FA4487"/>
    <w:rsid w:val="00FA5486"/>
    <w:rsid w:val="00FA5A4E"/>
    <w:rsid w:val="00FA60B6"/>
    <w:rsid w:val="00FA7437"/>
    <w:rsid w:val="00FB03A3"/>
    <w:rsid w:val="00FB099B"/>
    <w:rsid w:val="00FB1AC3"/>
    <w:rsid w:val="00FB2AA4"/>
    <w:rsid w:val="00FB38ED"/>
    <w:rsid w:val="00FB4899"/>
    <w:rsid w:val="00FB77F6"/>
    <w:rsid w:val="00FC0A5D"/>
    <w:rsid w:val="00FC2289"/>
    <w:rsid w:val="00FC2CA6"/>
    <w:rsid w:val="00FC399B"/>
    <w:rsid w:val="00FC46E4"/>
    <w:rsid w:val="00FC4EAC"/>
    <w:rsid w:val="00FC4EC5"/>
    <w:rsid w:val="00FC61DD"/>
    <w:rsid w:val="00FC6AB2"/>
    <w:rsid w:val="00FC7857"/>
    <w:rsid w:val="00FC795E"/>
    <w:rsid w:val="00FD009F"/>
    <w:rsid w:val="00FD08B0"/>
    <w:rsid w:val="00FD227D"/>
    <w:rsid w:val="00FD26F1"/>
    <w:rsid w:val="00FD3055"/>
    <w:rsid w:val="00FD3D35"/>
    <w:rsid w:val="00FD4E0D"/>
    <w:rsid w:val="00FD56AA"/>
    <w:rsid w:val="00FD5A33"/>
    <w:rsid w:val="00FD647A"/>
    <w:rsid w:val="00FD67A2"/>
    <w:rsid w:val="00FD688F"/>
    <w:rsid w:val="00FD7315"/>
    <w:rsid w:val="00FD76FB"/>
    <w:rsid w:val="00FE0357"/>
    <w:rsid w:val="00FE0609"/>
    <w:rsid w:val="00FE0E11"/>
    <w:rsid w:val="00FE1672"/>
    <w:rsid w:val="00FE17BB"/>
    <w:rsid w:val="00FE489B"/>
    <w:rsid w:val="00FE4BBC"/>
    <w:rsid w:val="00FE50A0"/>
    <w:rsid w:val="00FE6C55"/>
    <w:rsid w:val="00FE7003"/>
    <w:rsid w:val="00FE7564"/>
    <w:rsid w:val="00FE7E13"/>
    <w:rsid w:val="00FE7F00"/>
    <w:rsid w:val="00FF0ADC"/>
    <w:rsid w:val="00FF0B3B"/>
    <w:rsid w:val="00FF1186"/>
    <w:rsid w:val="00FF2D90"/>
    <w:rsid w:val="00FF3722"/>
    <w:rsid w:val="00FF4A20"/>
    <w:rsid w:val="00FF4C17"/>
    <w:rsid w:val="00FF5233"/>
    <w:rsid w:val="00FF5EEB"/>
    <w:rsid w:val="00FF64BD"/>
    <w:rsid w:val="00FF7A55"/>
    <w:rsid w:val="00FF7D8D"/>
    <w:rsid w:val="00FF7DB8"/>
    <w:rsid w:val="01396001"/>
    <w:rsid w:val="013D3BE3"/>
    <w:rsid w:val="01B9418F"/>
    <w:rsid w:val="01CC10DA"/>
    <w:rsid w:val="025B498E"/>
    <w:rsid w:val="029E74F9"/>
    <w:rsid w:val="02A457DF"/>
    <w:rsid w:val="03E11DF3"/>
    <w:rsid w:val="044521BB"/>
    <w:rsid w:val="05486BAC"/>
    <w:rsid w:val="07174748"/>
    <w:rsid w:val="07FC0FC0"/>
    <w:rsid w:val="08021A17"/>
    <w:rsid w:val="084031CD"/>
    <w:rsid w:val="084049CB"/>
    <w:rsid w:val="08E13F68"/>
    <w:rsid w:val="08EE3D79"/>
    <w:rsid w:val="08FB71B2"/>
    <w:rsid w:val="09136E47"/>
    <w:rsid w:val="091C084D"/>
    <w:rsid w:val="0944419A"/>
    <w:rsid w:val="09B0708F"/>
    <w:rsid w:val="0A540BAC"/>
    <w:rsid w:val="0A6119C4"/>
    <w:rsid w:val="0A7E44AC"/>
    <w:rsid w:val="0B0C2D50"/>
    <w:rsid w:val="0C2836F6"/>
    <w:rsid w:val="0C3B7AF3"/>
    <w:rsid w:val="0C630C6C"/>
    <w:rsid w:val="0D560F5A"/>
    <w:rsid w:val="0D580BD6"/>
    <w:rsid w:val="0DB85105"/>
    <w:rsid w:val="0EAF5EEB"/>
    <w:rsid w:val="0FAD7246"/>
    <w:rsid w:val="11665A0B"/>
    <w:rsid w:val="117A4EA6"/>
    <w:rsid w:val="11B0301E"/>
    <w:rsid w:val="145553B3"/>
    <w:rsid w:val="147F4982"/>
    <w:rsid w:val="157B5A76"/>
    <w:rsid w:val="16CB0B18"/>
    <w:rsid w:val="16E870ED"/>
    <w:rsid w:val="17094697"/>
    <w:rsid w:val="171212DC"/>
    <w:rsid w:val="17446A3D"/>
    <w:rsid w:val="17A00037"/>
    <w:rsid w:val="17BA3B94"/>
    <w:rsid w:val="17FC6FAF"/>
    <w:rsid w:val="198A47D1"/>
    <w:rsid w:val="19F252AD"/>
    <w:rsid w:val="1A0530BB"/>
    <w:rsid w:val="1ACF02C7"/>
    <w:rsid w:val="1C0B0F48"/>
    <w:rsid w:val="1C936CA4"/>
    <w:rsid w:val="1CEF1914"/>
    <w:rsid w:val="1DC44B52"/>
    <w:rsid w:val="1DF738B8"/>
    <w:rsid w:val="1E4A2476"/>
    <w:rsid w:val="1F9E56AE"/>
    <w:rsid w:val="1FC85D4A"/>
    <w:rsid w:val="1FD1007D"/>
    <w:rsid w:val="20C51B43"/>
    <w:rsid w:val="211C1792"/>
    <w:rsid w:val="21AD0EBD"/>
    <w:rsid w:val="2245068B"/>
    <w:rsid w:val="227C006D"/>
    <w:rsid w:val="22C95B0C"/>
    <w:rsid w:val="23115315"/>
    <w:rsid w:val="237C73F0"/>
    <w:rsid w:val="239D32DB"/>
    <w:rsid w:val="249F67E7"/>
    <w:rsid w:val="24D8416A"/>
    <w:rsid w:val="24F51EDD"/>
    <w:rsid w:val="257F3BB0"/>
    <w:rsid w:val="258030A7"/>
    <w:rsid w:val="26B31721"/>
    <w:rsid w:val="2828220B"/>
    <w:rsid w:val="290C17FE"/>
    <w:rsid w:val="2AB60D35"/>
    <w:rsid w:val="2B0B3D46"/>
    <w:rsid w:val="2B4274F5"/>
    <w:rsid w:val="2C616412"/>
    <w:rsid w:val="2CCC2D2D"/>
    <w:rsid w:val="2D307B2A"/>
    <w:rsid w:val="2D6B6306"/>
    <w:rsid w:val="2D836DA7"/>
    <w:rsid w:val="2D8C7224"/>
    <w:rsid w:val="2D9E7284"/>
    <w:rsid w:val="2FE9372A"/>
    <w:rsid w:val="302716D1"/>
    <w:rsid w:val="30B3327D"/>
    <w:rsid w:val="315328F8"/>
    <w:rsid w:val="31566479"/>
    <w:rsid w:val="32B04C6E"/>
    <w:rsid w:val="341E1C7C"/>
    <w:rsid w:val="352172D4"/>
    <w:rsid w:val="35B41FC3"/>
    <w:rsid w:val="35BF7A4C"/>
    <w:rsid w:val="360E7C21"/>
    <w:rsid w:val="367E3993"/>
    <w:rsid w:val="37BF717F"/>
    <w:rsid w:val="394C7896"/>
    <w:rsid w:val="399961B9"/>
    <w:rsid w:val="39B7627C"/>
    <w:rsid w:val="39ED2593"/>
    <w:rsid w:val="3AFD68EB"/>
    <w:rsid w:val="3B376AA5"/>
    <w:rsid w:val="3B731B57"/>
    <w:rsid w:val="3C5017FE"/>
    <w:rsid w:val="3CD173EE"/>
    <w:rsid w:val="3CF15F9F"/>
    <w:rsid w:val="3D9C41E4"/>
    <w:rsid w:val="3DB46724"/>
    <w:rsid w:val="3E636BD0"/>
    <w:rsid w:val="3E7405AE"/>
    <w:rsid w:val="3EF44E7F"/>
    <w:rsid w:val="3F6246C0"/>
    <w:rsid w:val="3FE34BA5"/>
    <w:rsid w:val="400C0548"/>
    <w:rsid w:val="410D4073"/>
    <w:rsid w:val="413F4B2D"/>
    <w:rsid w:val="42D7414F"/>
    <w:rsid w:val="43610971"/>
    <w:rsid w:val="43622799"/>
    <w:rsid w:val="43CD09A2"/>
    <w:rsid w:val="44617E93"/>
    <w:rsid w:val="44910DBC"/>
    <w:rsid w:val="44C644BE"/>
    <w:rsid w:val="45453062"/>
    <w:rsid w:val="455D0450"/>
    <w:rsid w:val="45CE45D5"/>
    <w:rsid w:val="4620664E"/>
    <w:rsid w:val="46265CA8"/>
    <w:rsid w:val="463461DD"/>
    <w:rsid w:val="46840005"/>
    <w:rsid w:val="468C713A"/>
    <w:rsid w:val="46E436A2"/>
    <w:rsid w:val="46EA5933"/>
    <w:rsid w:val="47586A0A"/>
    <w:rsid w:val="47FA78E4"/>
    <w:rsid w:val="47FD0FED"/>
    <w:rsid w:val="4A2D09DD"/>
    <w:rsid w:val="4A673681"/>
    <w:rsid w:val="4C0945CB"/>
    <w:rsid w:val="4C5215FA"/>
    <w:rsid w:val="4CCE600C"/>
    <w:rsid w:val="4ED72D1C"/>
    <w:rsid w:val="4EE42A5A"/>
    <w:rsid w:val="4F1B253B"/>
    <w:rsid w:val="4FFC1A84"/>
    <w:rsid w:val="503C198A"/>
    <w:rsid w:val="50B20C48"/>
    <w:rsid w:val="51E80FF4"/>
    <w:rsid w:val="51EF4863"/>
    <w:rsid w:val="52B27DD8"/>
    <w:rsid w:val="5377A078"/>
    <w:rsid w:val="53CD688E"/>
    <w:rsid w:val="55053D81"/>
    <w:rsid w:val="55707010"/>
    <w:rsid w:val="557E71F8"/>
    <w:rsid w:val="55F47DCA"/>
    <w:rsid w:val="560A4D30"/>
    <w:rsid w:val="56A9328E"/>
    <w:rsid w:val="57B0161D"/>
    <w:rsid w:val="580318C9"/>
    <w:rsid w:val="585C013D"/>
    <w:rsid w:val="588B616A"/>
    <w:rsid w:val="591478AE"/>
    <w:rsid w:val="592130AA"/>
    <w:rsid w:val="593352E2"/>
    <w:rsid w:val="59667560"/>
    <w:rsid w:val="597F4F59"/>
    <w:rsid w:val="59E84977"/>
    <w:rsid w:val="5ADA52D7"/>
    <w:rsid w:val="5B1F1A4B"/>
    <w:rsid w:val="5B2444D4"/>
    <w:rsid w:val="5CEF4951"/>
    <w:rsid w:val="5E741B57"/>
    <w:rsid w:val="5EE00C62"/>
    <w:rsid w:val="5F56580E"/>
    <w:rsid w:val="5F736778"/>
    <w:rsid w:val="5F8B21AC"/>
    <w:rsid w:val="5F990194"/>
    <w:rsid w:val="5FC02449"/>
    <w:rsid w:val="60591B3B"/>
    <w:rsid w:val="60BE4856"/>
    <w:rsid w:val="61323472"/>
    <w:rsid w:val="613D1C3C"/>
    <w:rsid w:val="6153220B"/>
    <w:rsid w:val="632027C3"/>
    <w:rsid w:val="642F24A3"/>
    <w:rsid w:val="64EF7C81"/>
    <w:rsid w:val="65586799"/>
    <w:rsid w:val="658F26FD"/>
    <w:rsid w:val="65BB3A1E"/>
    <w:rsid w:val="65BF2118"/>
    <w:rsid w:val="67221EE2"/>
    <w:rsid w:val="6730197C"/>
    <w:rsid w:val="676F744B"/>
    <w:rsid w:val="67A35106"/>
    <w:rsid w:val="67E36991"/>
    <w:rsid w:val="68045E34"/>
    <w:rsid w:val="68064839"/>
    <w:rsid w:val="682F7BBB"/>
    <w:rsid w:val="68BE5F65"/>
    <w:rsid w:val="68EF6D0B"/>
    <w:rsid w:val="69366ED6"/>
    <w:rsid w:val="696E64BB"/>
    <w:rsid w:val="6ACB217F"/>
    <w:rsid w:val="6B214436"/>
    <w:rsid w:val="6BBE4977"/>
    <w:rsid w:val="6C634662"/>
    <w:rsid w:val="6C7D7BD4"/>
    <w:rsid w:val="6DE7385D"/>
    <w:rsid w:val="6E1540DC"/>
    <w:rsid w:val="6E290AC9"/>
    <w:rsid w:val="6E8729F0"/>
    <w:rsid w:val="6EFF1131"/>
    <w:rsid w:val="6F3C217F"/>
    <w:rsid w:val="6F960F85"/>
    <w:rsid w:val="70DC6F8F"/>
    <w:rsid w:val="71F14435"/>
    <w:rsid w:val="72114E23"/>
    <w:rsid w:val="7303650F"/>
    <w:rsid w:val="73CF1CD7"/>
    <w:rsid w:val="73EF2500"/>
    <w:rsid w:val="73FC03F0"/>
    <w:rsid w:val="74163E96"/>
    <w:rsid w:val="741B7195"/>
    <w:rsid w:val="75D833A4"/>
    <w:rsid w:val="76D733B7"/>
    <w:rsid w:val="771B48D7"/>
    <w:rsid w:val="77C94006"/>
    <w:rsid w:val="77D036FE"/>
    <w:rsid w:val="77F01015"/>
    <w:rsid w:val="78010125"/>
    <w:rsid w:val="78192896"/>
    <w:rsid w:val="78467052"/>
    <w:rsid w:val="78B92FD8"/>
    <w:rsid w:val="78BE1D49"/>
    <w:rsid w:val="79453675"/>
    <w:rsid w:val="797F0F90"/>
    <w:rsid w:val="7A98190C"/>
    <w:rsid w:val="7AB5724B"/>
    <w:rsid w:val="7B5E0EF1"/>
    <w:rsid w:val="7C346F3F"/>
    <w:rsid w:val="7C3E2169"/>
    <w:rsid w:val="7C992C24"/>
    <w:rsid w:val="7CEBE244"/>
    <w:rsid w:val="7D104866"/>
    <w:rsid w:val="7D471CE2"/>
    <w:rsid w:val="7DE07DF2"/>
    <w:rsid w:val="7DF37666"/>
    <w:rsid w:val="7E184DB4"/>
    <w:rsid w:val="7E84549E"/>
    <w:rsid w:val="7FDE8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F3B2"/>
  <w15:docId w15:val="{E90FCEF8-0EE1-4CB5-8E06-D8B80D9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jc w:val="both"/>
    </w:pPr>
    <w:rPr>
      <w:rFonts w:asciiTheme="minorHAnsi" w:eastAsiaTheme="minorEastAsia" w:hAnsiTheme="minorHAnsi" w:cstheme="minorBidi"/>
    </w:rPr>
  </w:style>
  <w:style w:type="paragraph" w:styleId="1">
    <w:name w:val="heading 1"/>
    <w:basedOn w:val="a"/>
    <w:next w:val="a"/>
    <w:link w:val="10"/>
    <w:uiPriority w:val="9"/>
    <w:qFormat/>
    <w:pPr>
      <w:spacing w:before="300" w:after="40"/>
      <w:jc w:val="left"/>
      <w:outlineLvl w:val="0"/>
    </w:pPr>
    <w:rPr>
      <w:smallCaps/>
      <w:spacing w:val="5"/>
      <w:sz w:val="32"/>
      <w:szCs w:val="32"/>
    </w:rPr>
  </w:style>
  <w:style w:type="paragraph" w:styleId="2">
    <w:name w:val="heading 2"/>
    <w:basedOn w:val="a"/>
    <w:next w:val="a"/>
    <w:link w:val="20"/>
    <w:uiPriority w:val="9"/>
    <w:unhideWhenUsed/>
    <w:qFormat/>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pPr>
      <w:spacing w:after="0"/>
      <w:jc w:val="left"/>
      <w:outlineLvl w:val="2"/>
    </w:pPr>
    <w:rPr>
      <w:smallCaps/>
      <w:spacing w:val="5"/>
      <w:sz w:val="24"/>
      <w:szCs w:val="24"/>
    </w:rPr>
  </w:style>
  <w:style w:type="paragraph" w:styleId="4">
    <w:name w:val="heading 4"/>
    <w:basedOn w:val="a"/>
    <w:next w:val="a"/>
    <w:link w:val="40"/>
    <w:uiPriority w:val="9"/>
    <w:semiHidden/>
    <w:unhideWhenUsed/>
    <w:qFormat/>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pPr>
      <w:spacing w:before="200" w:after="0"/>
      <w:jc w:val="left"/>
      <w:outlineLvl w:val="4"/>
    </w:pPr>
    <w:rPr>
      <w:smallCaps/>
      <w:color w:val="4381CF" w:themeColor="accent2" w:themeShade="BF"/>
      <w:spacing w:val="10"/>
      <w:sz w:val="22"/>
      <w:szCs w:val="26"/>
    </w:rPr>
  </w:style>
  <w:style w:type="paragraph" w:styleId="6">
    <w:name w:val="heading 6"/>
    <w:basedOn w:val="a"/>
    <w:next w:val="a"/>
    <w:link w:val="60"/>
    <w:uiPriority w:val="9"/>
    <w:semiHidden/>
    <w:unhideWhenUsed/>
    <w:qFormat/>
    <w:pPr>
      <w:spacing w:after="0"/>
      <w:jc w:val="left"/>
      <w:outlineLvl w:val="5"/>
    </w:pPr>
    <w:rPr>
      <w:smallCaps/>
      <w:color w:val="8DB3E2" w:themeColor="accent2"/>
      <w:spacing w:val="5"/>
      <w:sz w:val="22"/>
    </w:rPr>
  </w:style>
  <w:style w:type="paragraph" w:styleId="7">
    <w:name w:val="heading 7"/>
    <w:basedOn w:val="a"/>
    <w:next w:val="a"/>
    <w:link w:val="70"/>
    <w:uiPriority w:val="9"/>
    <w:semiHidden/>
    <w:unhideWhenUsed/>
    <w:qFormat/>
    <w:pPr>
      <w:spacing w:after="0"/>
      <w:jc w:val="left"/>
      <w:outlineLvl w:val="6"/>
    </w:pPr>
    <w:rPr>
      <w:b/>
      <w:smallCaps/>
      <w:color w:val="8DB3E2" w:themeColor="accent2"/>
      <w:spacing w:val="10"/>
    </w:rPr>
  </w:style>
  <w:style w:type="paragraph" w:styleId="8">
    <w:name w:val="heading 8"/>
    <w:basedOn w:val="a"/>
    <w:next w:val="a"/>
    <w:link w:val="80"/>
    <w:uiPriority w:val="9"/>
    <w:semiHidden/>
    <w:unhideWhenUsed/>
    <w:qFormat/>
    <w:pPr>
      <w:spacing w:after="0"/>
      <w:jc w:val="left"/>
      <w:outlineLvl w:val="7"/>
    </w:pPr>
    <w:rPr>
      <w:b/>
      <w:i/>
      <w:smallCaps/>
      <w:color w:val="4381CF" w:themeColor="accent2" w:themeShade="BF"/>
    </w:rPr>
  </w:style>
  <w:style w:type="paragraph" w:styleId="9">
    <w:name w:val="heading 9"/>
    <w:basedOn w:val="a"/>
    <w:next w:val="a"/>
    <w:link w:val="90"/>
    <w:uiPriority w:val="9"/>
    <w:semiHidden/>
    <w:unhideWhenUsed/>
    <w:qFormat/>
    <w:pPr>
      <w:spacing w:after="0"/>
      <w:jc w:val="left"/>
      <w:outlineLvl w:val="8"/>
    </w:pPr>
    <w:rPr>
      <w:b/>
      <w:i/>
      <w:smallCaps/>
      <w:color w:val="255692" w:themeColor="accent2"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b/>
      <w:bCs/>
      <w:caps/>
      <w:sz w:val="16"/>
      <w:szCs w:val="18"/>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spacing w:after="720" w:line="240" w:lineRule="auto"/>
      <w:jc w:val="right"/>
    </w:pPr>
    <w:rPr>
      <w:rFonts w:asciiTheme="majorHAnsi" w:eastAsiaTheme="majorEastAsia" w:hAnsiTheme="majorHAnsi" w:cstheme="majorBidi"/>
      <w:szCs w:val="22"/>
    </w:rPr>
  </w:style>
  <w:style w:type="paragraph" w:styleId="ae">
    <w:name w:val="Title"/>
    <w:basedOn w:val="a"/>
    <w:next w:val="a"/>
    <w:link w:val="af"/>
    <w:uiPriority w:val="10"/>
    <w:qFormat/>
    <w:pPr>
      <w:pBdr>
        <w:top w:val="single" w:sz="12" w:space="1" w:color="8DB3E2" w:themeColor="accent2"/>
      </w:pBdr>
      <w:spacing w:line="240" w:lineRule="auto"/>
      <w:jc w:val="right"/>
    </w:pPr>
    <w:rPr>
      <w:smallCaps/>
      <w:sz w:val="48"/>
      <w:szCs w:val="48"/>
    </w:rPr>
  </w:style>
  <w:style w:type="character" w:styleId="af0">
    <w:name w:val="Strong"/>
    <w:uiPriority w:val="22"/>
    <w:qFormat/>
    <w:rPr>
      <w:b/>
      <w:color w:val="8DB3E2" w:themeColor="accent2"/>
    </w:rPr>
  </w:style>
  <w:style w:type="character" w:styleId="af1">
    <w:name w:val="Emphasis"/>
    <w:uiPriority w:val="20"/>
    <w:qFormat/>
    <w:rPr>
      <w:b/>
      <w:i/>
      <w:spacing w:val="10"/>
    </w:rPr>
  </w:style>
  <w:style w:type="paragraph" w:styleId="af2">
    <w:name w:val="List Paragraph"/>
    <w:basedOn w:val="a"/>
    <w:uiPriority w:val="34"/>
    <w:qFormat/>
    <w:pPr>
      <w:ind w:left="720"/>
      <w:contextualSpacing/>
    </w:p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Quote"/>
    <w:basedOn w:val="a"/>
    <w:next w:val="a"/>
    <w:link w:val="af4"/>
    <w:uiPriority w:val="29"/>
    <w:qFormat/>
    <w:rPr>
      <w:i/>
    </w:rPr>
  </w:style>
  <w:style w:type="character" w:customStyle="1" w:styleId="af4">
    <w:name w:val="引用 字符"/>
    <w:basedOn w:val="a0"/>
    <w:link w:val="af3"/>
    <w:uiPriority w:val="29"/>
    <w:qFormat/>
    <w:rPr>
      <w:i/>
    </w:rPr>
  </w:style>
  <w:style w:type="character" w:customStyle="1" w:styleId="af">
    <w:name w:val="标题 字符"/>
    <w:basedOn w:val="a0"/>
    <w:link w:val="ae"/>
    <w:uiPriority w:val="10"/>
    <w:qFormat/>
    <w:rPr>
      <w:smallCaps/>
      <w:sz w:val="48"/>
      <w:szCs w:val="48"/>
    </w:rPr>
  </w:style>
  <w:style w:type="character" w:customStyle="1" w:styleId="10">
    <w:name w:val="标题 1 字符"/>
    <w:basedOn w:val="a0"/>
    <w:link w:val="1"/>
    <w:uiPriority w:val="9"/>
    <w:qFormat/>
    <w:rPr>
      <w:smallCaps/>
      <w:spacing w:val="5"/>
      <w:sz w:val="32"/>
      <w:szCs w:val="32"/>
    </w:rPr>
  </w:style>
  <w:style w:type="character" w:customStyle="1" w:styleId="20">
    <w:name w:val="标题 2 字符"/>
    <w:basedOn w:val="a0"/>
    <w:link w:val="2"/>
    <w:uiPriority w:val="9"/>
    <w:semiHidden/>
    <w:qFormat/>
    <w:rPr>
      <w:smallCaps/>
      <w:spacing w:val="5"/>
      <w:sz w:val="28"/>
      <w:szCs w:val="28"/>
    </w:rPr>
  </w:style>
  <w:style w:type="character" w:customStyle="1" w:styleId="30">
    <w:name w:val="标题 3 字符"/>
    <w:basedOn w:val="a0"/>
    <w:link w:val="3"/>
    <w:uiPriority w:val="9"/>
    <w:semiHidden/>
    <w:qFormat/>
    <w:rPr>
      <w:smallCaps/>
      <w:spacing w:val="5"/>
      <w:sz w:val="24"/>
      <w:szCs w:val="24"/>
    </w:rPr>
  </w:style>
  <w:style w:type="character" w:customStyle="1" w:styleId="40">
    <w:name w:val="标题 4 字符"/>
    <w:basedOn w:val="a0"/>
    <w:link w:val="4"/>
    <w:uiPriority w:val="9"/>
    <w:semiHidden/>
    <w:qFormat/>
    <w:rPr>
      <w:smallCaps/>
      <w:spacing w:val="10"/>
      <w:sz w:val="22"/>
      <w:szCs w:val="22"/>
    </w:rPr>
  </w:style>
  <w:style w:type="character" w:customStyle="1" w:styleId="50">
    <w:name w:val="标题 5 字符"/>
    <w:basedOn w:val="a0"/>
    <w:link w:val="5"/>
    <w:uiPriority w:val="9"/>
    <w:semiHidden/>
    <w:qFormat/>
    <w:rPr>
      <w:smallCaps/>
      <w:color w:val="4381CF" w:themeColor="accent2" w:themeShade="BF"/>
      <w:spacing w:val="10"/>
      <w:sz w:val="22"/>
      <w:szCs w:val="26"/>
    </w:rPr>
  </w:style>
  <w:style w:type="character" w:customStyle="1" w:styleId="60">
    <w:name w:val="标题 6 字符"/>
    <w:basedOn w:val="a0"/>
    <w:link w:val="6"/>
    <w:uiPriority w:val="9"/>
    <w:semiHidden/>
    <w:qFormat/>
    <w:rPr>
      <w:smallCaps/>
      <w:color w:val="8DB3E2" w:themeColor="accent2"/>
      <w:spacing w:val="5"/>
      <w:sz w:val="22"/>
    </w:rPr>
  </w:style>
  <w:style w:type="character" w:customStyle="1" w:styleId="70">
    <w:name w:val="标题 7 字符"/>
    <w:basedOn w:val="a0"/>
    <w:link w:val="7"/>
    <w:uiPriority w:val="9"/>
    <w:semiHidden/>
    <w:qFormat/>
    <w:rPr>
      <w:b/>
      <w:smallCaps/>
      <w:color w:val="8DB3E2" w:themeColor="accent2"/>
      <w:spacing w:val="10"/>
    </w:rPr>
  </w:style>
  <w:style w:type="character" w:customStyle="1" w:styleId="80">
    <w:name w:val="标题 8 字符"/>
    <w:basedOn w:val="a0"/>
    <w:link w:val="8"/>
    <w:uiPriority w:val="9"/>
    <w:semiHidden/>
    <w:qFormat/>
    <w:rPr>
      <w:b/>
      <w:i/>
      <w:smallCaps/>
      <w:color w:val="4381CF" w:themeColor="accent2" w:themeShade="BF"/>
    </w:rPr>
  </w:style>
  <w:style w:type="character" w:customStyle="1" w:styleId="90">
    <w:name w:val="标题 9 字符"/>
    <w:basedOn w:val="a0"/>
    <w:link w:val="9"/>
    <w:uiPriority w:val="9"/>
    <w:semiHidden/>
    <w:qFormat/>
    <w:rPr>
      <w:b/>
      <w:i/>
      <w:smallCaps/>
      <w:color w:val="255692" w:themeColor="accent2" w:themeShade="80"/>
    </w:rPr>
  </w:style>
  <w:style w:type="character" w:customStyle="1" w:styleId="ad">
    <w:name w:val="副标题 字符"/>
    <w:basedOn w:val="a0"/>
    <w:link w:val="ac"/>
    <w:uiPriority w:val="11"/>
    <w:qFormat/>
    <w:rPr>
      <w:rFonts w:asciiTheme="majorHAnsi" w:eastAsiaTheme="majorEastAsia" w:hAnsiTheme="majorHAnsi" w:cstheme="majorBidi"/>
      <w:szCs w:val="22"/>
    </w:rPr>
  </w:style>
  <w:style w:type="paragraph" w:styleId="af5">
    <w:name w:val="No Spacing"/>
    <w:basedOn w:val="a"/>
    <w:link w:val="af6"/>
    <w:uiPriority w:val="1"/>
    <w:qFormat/>
    <w:pPr>
      <w:spacing w:after="0" w:line="240" w:lineRule="auto"/>
    </w:pPr>
  </w:style>
  <w:style w:type="paragraph" w:styleId="af7">
    <w:name w:val="Intense Quote"/>
    <w:basedOn w:val="a"/>
    <w:next w:val="a"/>
    <w:link w:val="af8"/>
    <w:uiPriority w:val="30"/>
    <w:qFormat/>
    <w:pPr>
      <w:pBdr>
        <w:top w:val="single" w:sz="8" w:space="10" w:color="4381CF" w:themeColor="accent2" w:themeShade="BF"/>
        <w:left w:val="single" w:sz="8" w:space="10" w:color="4381CF" w:themeColor="accent2" w:themeShade="BF"/>
        <w:bottom w:val="single" w:sz="8" w:space="10" w:color="4381CF" w:themeColor="accent2" w:themeShade="BF"/>
        <w:right w:val="single" w:sz="8" w:space="10" w:color="4381CF" w:themeColor="accent2" w:themeShade="BF"/>
      </w:pBdr>
      <w:shd w:val="clear" w:color="auto" w:fill="8DB3E2" w:themeFill="accent2"/>
      <w:spacing w:before="140" w:after="140"/>
      <w:ind w:left="1440" w:right="1440"/>
    </w:pPr>
    <w:rPr>
      <w:b/>
      <w:i/>
      <w:color w:val="112845" w:themeColor="background1"/>
    </w:rPr>
  </w:style>
  <w:style w:type="character" w:customStyle="1" w:styleId="af8">
    <w:name w:val="明显引用 字符"/>
    <w:basedOn w:val="a0"/>
    <w:link w:val="af7"/>
    <w:uiPriority w:val="30"/>
    <w:qFormat/>
    <w:rPr>
      <w:b/>
      <w:i/>
      <w:color w:val="112845" w:themeColor="background1"/>
      <w:shd w:val="clear" w:color="auto" w:fill="8DB3E2" w:themeFill="accent2"/>
    </w:rPr>
  </w:style>
  <w:style w:type="character" w:customStyle="1" w:styleId="11">
    <w:name w:val="不明显强调1"/>
    <w:uiPriority w:val="19"/>
    <w:qFormat/>
    <w:rPr>
      <w:rFonts w:asciiTheme="majorHAnsi" w:eastAsiaTheme="majorEastAsia" w:hAnsiTheme="majorHAnsi" w:cstheme="majorBidi"/>
      <w:i/>
      <w:iCs/>
      <w:color w:val="8DB3E2" w:themeColor="accent2"/>
    </w:rPr>
  </w:style>
  <w:style w:type="character" w:customStyle="1" w:styleId="12">
    <w:name w:val="明显强调1"/>
    <w:uiPriority w:val="21"/>
    <w:qFormat/>
    <w:rPr>
      <w:rFonts w:asciiTheme="majorHAnsi" w:eastAsiaTheme="majorEastAsia" w:hAnsiTheme="majorHAnsi" w:cstheme="majorBidi"/>
      <w:b/>
      <w:bCs/>
      <w:i/>
      <w:iCs/>
      <w:color w:val="112845" w:themeColor="background1"/>
      <w:bdr w:val="single" w:sz="18" w:space="0" w:color="8DB3E2" w:themeColor="accent2"/>
      <w:shd w:val="clear" w:color="auto" w:fill="8DB3E2" w:themeFill="accent2"/>
      <w:vertAlign w:val="baseline"/>
    </w:rPr>
  </w:style>
  <w:style w:type="character" w:customStyle="1" w:styleId="13">
    <w:name w:val="不明显参考1"/>
    <w:uiPriority w:val="31"/>
    <w:qFormat/>
    <w:rPr>
      <w:i/>
      <w:iCs/>
      <w:smallCaps/>
      <w:color w:val="8DB3E2" w:themeColor="accent2"/>
      <w:u w:color="8DB3E2" w:themeColor="accent2"/>
    </w:rPr>
  </w:style>
  <w:style w:type="character" w:customStyle="1" w:styleId="14">
    <w:name w:val="明显参考1"/>
    <w:uiPriority w:val="32"/>
    <w:qFormat/>
    <w:rPr>
      <w:b/>
      <w:bCs/>
      <w:i/>
      <w:iCs/>
      <w:smallCaps/>
      <w:color w:val="8DB3E2" w:themeColor="accent2"/>
      <w:u w:color="8DB3E2" w:themeColor="accent2"/>
    </w:rPr>
  </w:style>
  <w:style w:type="character" w:customStyle="1" w:styleId="15">
    <w:name w:val="书籍标题1"/>
    <w:uiPriority w:val="33"/>
    <w:qFormat/>
    <w:rPr>
      <w:rFonts w:asciiTheme="majorHAnsi" w:eastAsiaTheme="majorEastAsia" w:hAnsiTheme="majorHAnsi" w:cstheme="majorBidi"/>
      <w:b/>
      <w:bCs/>
      <w:i/>
      <w:iCs/>
      <w:smallCaps/>
      <w:color w:val="4381CF" w:themeColor="accent2" w:themeShade="BF"/>
      <w:u w:val="single"/>
    </w:rPr>
  </w:style>
  <w:style w:type="paragraph" w:customStyle="1" w:styleId="TOC1">
    <w:name w:val="TOC 标题1"/>
    <w:basedOn w:val="1"/>
    <w:next w:val="a"/>
    <w:uiPriority w:val="39"/>
    <w:semiHidden/>
    <w:unhideWhenUsed/>
    <w:qFormat/>
    <w:pPr>
      <w:outlineLvl w:val="9"/>
    </w:pPr>
    <w:rPr>
      <w:lang w:bidi="en-US"/>
    </w:rPr>
  </w:style>
  <w:style w:type="paragraph" w:customStyle="1" w:styleId="Default">
    <w:name w:val="Default"/>
    <w:qFormat/>
    <w:pPr>
      <w:widowControl w:val="0"/>
      <w:autoSpaceDE w:val="0"/>
      <w:autoSpaceDN w:val="0"/>
      <w:adjustRightInd w:val="0"/>
      <w:spacing w:after="200" w:line="276" w:lineRule="auto"/>
      <w:jc w:val="both"/>
    </w:pPr>
    <w:rPr>
      <w:rFonts w:ascii="楷体_GB2312" w:eastAsia="楷体_GB2312" w:cs="楷体_GB2312"/>
      <w:color w:val="000000"/>
      <w:sz w:val="24"/>
      <w:szCs w:val="24"/>
    </w:rPr>
  </w:style>
  <w:style w:type="character" w:customStyle="1" w:styleId="af6">
    <w:name w:val="无间隔 字符"/>
    <w:basedOn w:val="a0"/>
    <w:link w:val="af5"/>
    <w:uiPriority w:val="1"/>
    <w:qFormat/>
  </w:style>
  <w:style w:type="character" w:customStyle="1" w:styleId="21">
    <w:name w:val="不明显强调2"/>
    <w:uiPriority w:val="19"/>
    <w:qFormat/>
    <w:rPr>
      <w:i/>
    </w:rPr>
  </w:style>
  <w:style w:type="character" w:customStyle="1" w:styleId="22">
    <w:name w:val="明显强调2"/>
    <w:uiPriority w:val="21"/>
    <w:qFormat/>
    <w:rPr>
      <w:b/>
      <w:i/>
      <w:color w:val="8DB3E2" w:themeColor="accent2"/>
      <w:spacing w:val="10"/>
    </w:rPr>
  </w:style>
  <w:style w:type="character" w:customStyle="1" w:styleId="23">
    <w:name w:val="不明显参考2"/>
    <w:uiPriority w:val="31"/>
    <w:qFormat/>
    <w:rPr>
      <w:b/>
    </w:rPr>
  </w:style>
  <w:style w:type="character" w:customStyle="1" w:styleId="24">
    <w:name w:val="明显参考2"/>
    <w:uiPriority w:val="32"/>
    <w:qFormat/>
    <w:rPr>
      <w:b/>
      <w:bCs/>
      <w:smallCaps/>
      <w:spacing w:val="5"/>
      <w:sz w:val="22"/>
      <w:szCs w:val="22"/>
      <w:u w:val="single"/>
    </w:rPr>
  </w:style>
  <w:style w:type="character" w:customStyle="1" w:styleId="25">
    <w:name w:val="书籍标题2"/>
    <w:uiPriority w:val="33"/>
    <w:qFormat/>
    <w:rPr>
      <w:rFonts w:asciiTheme="majorHAnsi" w:eastAsiaTheme="majorEastAsia" w:hAnsiTheme="majorHAnsi" w:cstheme="majorBidi"/>
      <w:i/>
      <w:iCs/>
      <w:sz w:val="20"/>
      <w:szCs w:val="20"/>
    </w:rPr>
  </w:style>
  <w:style w:type="paragraph" w:customStyle="1" w:styleId="TOC2">
    <w:name w:val="TOC 标题2"/>
    <w:basedOn w:val="1"/>
    <w:next w:val="a"/>
    <w:uiPriority w:val="39"/>
    <w:semiHidden/>
    <w:unhideWhenUsed/>
    <w:qFormat/>
    <w:pPr>
      <w:outlineLvl w:val="9"/>
    </w:pPr>
    <w:rPr>
      <w:lang w:bidi="en-US"/>
    </w:rPr>
  </w:style>
  <w:style w:type="character" w:customStyle="1" w:styleId="a5">
    <w:name w:val="日期 字符"/>
    <w:basedOn w:val="a0"/>
    <w:link w:val="a4"/>
    <w:uiPriority w:val="99"/>
    <w:semiHidden/>
    <w:qFormat/>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自定义 8">
      <a:dk1>
        <a:srgbClr val="DBE5F1"/>
      </a:dk1>
      <a:lt1>
        <a:srgbClr val="112845"/>
      </a:lt1>
      <a:dk2>
        <a:srgbClr val="DBE5F1"/>
      </a:dk2>
      <a:lt2>
        <a:srgbClr val="EEECE1"/>
      </a:lt2>
      <a:accent1>
        <a:srgbClr val="DBE5F1"/>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4D2B688B-B9C5-4825-A75A-A8F03004EB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6</Pages>
  <Words>605</Words>
  <Characters>3455</Characters>
  <Application>Microsoft Office Word</Application>
  <DocSecurity>0</DocSecurity>
  <Lines>28</Lines>
  <Paragraphs>8</Paragraphs>
  <ScaleCrop>false</ScaleCrop>
  <Company>微软中国</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王晓囡</cp:lastModifiedBy>
  <cp:revision>362</cp:revision>
  <cp:lastPrinted>2025-07-22T09:25:00Z</cp:lastPrinted>
  <dcterms:created xsi:type="dcterms:W3CDTF">2025-05-07T07:59:00Z</dcterms:created>
  <dcterms:modified xsi:type="dcterms:W3CDTF">2025-09-09T09:34:00Z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B36E0625614949BA9DBDFFDB9AC4DF17_13</vt:lpwstr>
  </property>
</Properties>
</file>