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09EA" w14:textId="77777777" w:rsidR="005163F1" w:rsidRDefault="00000000">
      <w:pPr>
        <w:pStyle w:val="ac"/>
        <w:jc w:val="center"/>
        <w:rPr>
          <w:rFonts w:asciiTheme="minorEastAsia" w:hAnsiTheme="minorEastAsia"/>
          <w:i/>
          <w:smallCaps w:val="0"/>
          <w:sz w:val="24"/>
          <w:szCs w:val="24"/>
        </w:rPr>
      </w:pPr>
      <w:proofErr w:type="gramStart"/>
      <w:r>
        <w:rPr>
          <w:rFonts w:hint="eastAsia"/>
          <w:b/>
          <w:color w:val="002060"/>
        </w:rPr>
        <w:t>冠通每日</w:t>
      </w:r>
      <w:proofErr w:type="gramEnd"/>
      <w:r>
        <w:rPr>
          <w:rFonts w:hint="eastAsia"/>
          <w:b/>
          <w:color w:val="002060"/>
        </w:rPr>
        <w:t>交易策略</w:t>
      </w:r>
    </w:p>
    <w:p w14:paraId="19E221C3" w14:textId="77777777" w:rsidR="005163F1" w:rsidRDefault="005163F1">
      <w:pPr>
        <w:jc w:val="center"/>
        <w:rPr>
          <w:b/>
          <w:sz w:val="24"/>
          <w:szCs w:val="24"/>
          <w:u w:val="single"/>
        </w:rPr>
      </w:pPr>
    </w:p>
    <w:p w14:paraId="133601D2" w14:textId="77777777" w:rsidR="005163F1" w:rsidRDefault="00000000">
      <w:pPr>
        <w:spacing w:line="360" w:lineRule="auto"/>
        <w:jc w:val="center"/>
        <w:rPr>
          <w:rFonts w:ascii="宋体" w:eastAsia="宋体" w:hAnsi="宋体" w:cs="宋体"/>
          <w:b/>
          <w:bCs/>
          <w:sz w:val="24"/>
          <w:szCs w:val="24"/>
        </w:rPr>
      </w:pPr>
      <w:r>
        <w:rPr>
          <w:rFonts w:ascii="宋体" w:eastAsia="宋体" w:hAnsi="宋体" w:cs="宋体" w:hint="eastAsia"/>
          <w:b/>
          <w:bCs/>
          <w:sz w:val="28"/>
          <w:szCs w:val="28"/>
        </w:rPr>
        <w:t>期市综述</w:t>
      </w:r>
    </w:p>
    <w:p w14:paraId="70B1448C" w14:textId="77777777" w:rsidR="00CF641B" w:rsidRPr="00CF641B" w:rsidRDefault="00CF641B" w:rsidP="00CF641B">
      <w:pPr>
        <w:spacing w:line="360" w:lineRule="auto"/>
        <w:rPr>
          <w:rFonts w:ascii="宋体" w:eastAsia="宋体" w:hAnsi="宋体" w:cs="宋体" w:hint="eastAsia"/>
          <w:sz w:val="24"/>
          <w:szCs w:val="24"/>
        </w:rPr>
      </w:pPr>
      <w:r w:rsidRPr="00CF641B">
        <w:rPr>
          <w:rFonts w:ascii="宋体" w:eastAsia="宋体" w:hAnsi="宋体" w:cs="宋体" w:hint="eastAsia"/>
          <w:sz w:val="24"/>
          <w:szCs w:val="24"/>
        </w:rPr>
        <w:t>截止8月3日收盘，国内期货主力合约涨跌不一，液化石油气（LPG）、玻璃、</w:t>
      </w:r>
      <w:proofErr w:type="gramStart"/>
      <w:r w:rsidRPr="00CF641B">
        <w:rPr>
          <w:rFonts w:ascii="宋体" w:eastAsia="宋体" w:hAnsi="宋体" w:cs="宋体" w:hint="eastAsia"/>
          <w:sz w:val="24"/>
          <w:szCs w:val="24"/>
        </w:rPr>
        <w:t>棉纱涨超</w:t>
      </w:r>
      <w:proofErr w:type="gramEnd"/>
      <w:r w:rsidRPr="00CF641B">
        <w:rPr>
          <w:rFonts w:ascii="宋体" w:eastAsia="宋体" w:hAnsi="宋体" w:cs="宋体" w:hint="eastAsia"/>
          <w:sz w:val="24"/>
          <w:szCs w:val="24"/>
        </w:rPr>
        <w:t>2%；跌幅方面，白糖、</w:t>
      </w:r>
      <w:proofErr w:type="gramStart"/>
      <w:r w:rsidRPr="00CF641B">
        <w:rPr>
          <w:rFonts w:ascii="宋体" w:eastAsia="宋体" w:hAnsi="宋体" w:cs="宋体" w:hint="eastAsia"/>
          <w:sz w:val="24"/>
          <w:szCs w:val="24"/>
        </w:rPr>
        <w:t>棕榈跌超</w:t>
      </w:r>
      <w:proofErr w:type="gramEnd"/>
      <w:r w:rsidRPr="00CF641B">
        <w:rPr>
          <w:rFonts w:ascii="宋体" w:eastAsia="宋体" w:hAnsi="宋体" w:cs="宋体" w:hint="eastAsia"/>
          <w:sz w:val="24"/>
          <w:szCs w:val="24"/>
        </w:rPr>
        <w:t>2%，沪镍、低硫燃料油（LU）、</w:t>
      </w:r>
      <w:proofErr w:type="gramStart"/>
      <w:r w:rsidRPr="00CF641B">
        <w:rPr>
          <w:rFonts w:ascii="宋体" w:eastAsia="宋体" w:hAnsi="宋体" w:cs="宋体" w:hint="eastAsia"/>
          <w:sz w:val="24"/>
          <w:szCs w:val="24"/>
        </w:rPr>
        <w:t>沪锡跌</w:t>
      </w:r>
      <w:proofErr w:type="gramEnd"/>
      <w:r w:rsidRPr="00CF641B">
        <w:rPr>
          <w:rFonts w:ascii="宋体" w:eastAsia="宋体" w:hAnsi="宋体" w:cs="宋体" w:hint="eastAsia"/>
          <w:sz w:val="24"/>
          <w:szCs w:val="24"/>
        </w:rPr>
        <w:t>近2%。沪深300股指期货（IF）主力合约跌1.35%，上证50股指期货（IH）主力合约跌0.64%，中证500股指期货（IC）主力合约跌1.42%，中证1000股指期货（IM）主力合约跌1.33%；2年期国债期货（TS）主力合约涨0.08%，5年期国债期货（TF）主力合约涨0.11%，10年期国债期货（T）主力合约涨0.07%。</w:t>
      </w:r>
    </w:p>
    <w:p w14:paraId="6171E607" w14:textId="77777777" w:rsidR="00CF641B" w:rsidRDefault="00CF641B" w:rsidP="00CF641B">
      <w:pPr>
        <w:spacing w:line="360" w:lineRule="auto"/>
        <w:rPr>
          <w:rFonts w:ascii="宋体" w:eastAsia="宋体" w:hAnsi="宋体" w:cs="宋体"/>
          <w:sz w:val="24"/>
          <w:szCs w:val="24"/>
        </w:rPr>
      </w:pPr>
      <w:r w:rsidRPr="00CF641B">
        <w:rPr>
          <w:rFonts w:ascii="宋体" w:eastAsia="宋体" w:hAnsi="宋体" w:cs="宋体" w:hint="eastAsia"/>
          <w:sz w:val="24"/>
          <w:szCs w:val="24"/>
        </w:rPr>
        <w:t>资金流向截至15:00，资金流入方面，甲醇2209流入1.43亿元，燃油2301流入1.34亿元，棉花2301流入1.27亿元；资金流出方面，铁矿2209流出8.72亿元，螺纹2210流出4.29亿元，棕榈2209流出2.95亿元。</w:t>
      </w:r>
    </w:p>
    <w:p w14:paraId="3439B1BF" w14:textId="77777777" w:rsidR="00CF641B" w:rsidRDefault="00CF641B" w:rsidP="00CF641B">
      <w:pPr>
        <w:spacing w:line="360" w:lineRule="auto"/>
        <w:rPr>
          <w:rFonts w:ascii="宋体" w:eastAsia="宋体" w:hAnsi="宋体" w:cs="宋体"/>
          <w:sz w:val="24"/>
          <w:szCs w:val="24"/>
        </w:rPr>
      </w:pPr>
    </w:p>
    <w:p w14:paraId="5E49E766" w14:textId="69927FB2" w:rsidR="005163F1" w:rsidRDefault="00CF641B" w:rsidP="00CF641B">
      <w:pPr>
        <w:spacing w:line="360" w:lineRule="auto"/>
        <w:rPr>
          <w:rFonts w:ascii="宋体" w:eastAsia="宋体" w:hAnsi="宋体" w:cs="宋体"/>
          <w:b/>
          <w:bCs/>
          <w:sz w:val="28"/>
          <w:szCs w:val="28"/>
        </w:rPr>
      </w:pPr>
      <w:r>
        <w:rPr>
          <w:rFonts w:ascii="宋体" w:eastAsia="宋体" w:hAnsi="宋体" w:cs="宋体"/>
          <w:noProof/>
          <w:sz w:val="24"/>
          <w:szCs w:val="24"/>
        </w:rPr>
        <w:drawing>
          <wp:inline distT="0" distB="0" distL="0" distR="0" wp14:anchorId="2874DC06" wp14:editId="210C70C4">
            <wp:extent cx="5245381" cy="221145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9384" cy="2225792"/>
                    </a:xfrm>
                    <a:prstGeom prst="rect">
                      <a:avLst/>
                    </a:prstGeom>
                    <a:noFill/>
                  </pic:spPr>
                </pic:pic>
              </a:graphicData>
            </a:graphic>
          </wp:inline>
        </w:drawing>
      </w:r>
    </w:p>
    <w:p w14:paraId="543F13AA" w14:textId="5266D2F7" w:rsidR="005163F1" w:rsidRDefault="005163F1">
      <w:pPr>
        <w:spacing w:line="360" w:lineRule="auto"/>
        <w:rPr>
          <w:rFonts w:ascii="宋体" w:eastAsia="宋体" w:hAnsi="宋体" w:cs="宋体"/>
          <w:b/>
          <w:bCs/>
          <w:sz w:val="28"/>
          <w:szCs w:val="28"/>
        </w:rPr>
      </w:pPr>
    </w:p>
    <w:p w14:paraId="4DB83A87" w14:textId="23CD3340" w:rsidR="00CF641B" w:rsidRDefault="00CF641B">
      <w:pPr>
        <w:spacing w:line="360" w:lineRule="auto"/>
        <w:rPr>
          <w:rFonts w:ascii="宋体" w:eastAsia="宋体" w:hAnsi="宋体" w:cs="宋体"/>
          <w:b/>
          <w:bCs/>
          <w:sz w:val="28"/>
          <w:szCs w:val="28"/>
        </w:rPr>
      </w:pPr>
    </w:p>
    <w:p w14:paraId="12E231E9" w14:textId="77777777" w:rsidR="005163F1" w:rsidRDefault="00000000">
      <w:pPr>
        <w:spacing w:line="360" w:lineRule="auto"/>
        <w:jc w:val="center"/>
        <w:rPr>
          <w:rFonts w:ascii="宋体" w:eastAsia="宋体" w:hAnsi="宋体" w:cs="宋体"/>
          <w:sz w:val="28"/>
          <w:szCs w:val="28"/>
        </w:rPr>
      </w:pPr>
      <w:r>
        <w:rPr>
          <w:rFonts w:ascii="宋体" w:eastAsia="宋体" w:hAnsi="宋体" w:cs="宋体" w:hint="eastAsia"/>
          <w:b/>
          <w:bCs/>
          <w:sz w:val="28"/>
          <w:szCs w:val="28"/>
        </w:rPr>
        <w:lastRenderedPageBreak/>
        <w:t>核心观点</w:t>
      </w:r>
    </w:p>
    <w:p w14:paraId="10E82B78" w14:textId="45B23F9A" w:rsidR="006804CF" w:rsidRDefault="00000000" w:rsidP="006804CF">
      <w:pPr>
        <w:spacing w:after="120" w:line="360" w:lineRule="auto"/>
        <w:rPr>
          <w:rFonts w:ascii="宋体" w:eastAsia="宋体" w:hAnsi="宋体" w:cs="宋体"/>
          <w:sz w:val="24"/>
          <w:szCs w:val="24"/>
        </w:rPr>
      </w:pPr>
      <w:r>
        <w:rPr>
          <w:rFonts w:ascii="宋体" w:eastAsia="宋体" w:hAnsi="宋体" w:cs="宋体" w:hint="eastAsia"/>
          <w:b/>
          <w:bCs/>
          <w:sz w:val="24"/>
          <w:szCs w:val="24"/>
        </w:rPr>
        <w:t>金银：</w:t>
      </w:r>
      <w:r w:rsidR="006804CF" w:rsidRPr="006804CF">
        <w:rPr>
          <w:rFonts w:ascii="宋体" w:eastAsia="宋体" w:hAnsi="宋体" w:cs="宋体" w:hint="eastAsia"/>
          <w:sz w:val="24"/>
          <w:szCs w:val="24"/>
        </w:rPr>
        <w:t>上周五美国6月PCE物价指数同比增长6.8%，符合预期；6月核心PCE物价指数同比增长4.8%，市场预期4.7%；美联储首选的通胀指标6月重新加速，加剧了人们对通胀将持续居高不下的担忧，同时推升市场对美联储持续加息的预期；本周一美国7月ISM制造业指数52.8，预期52，创2020年6月份以来新低；本周一6月JOLTS职位空缺从5月终值1130万减少至1070万，市场预期1100万，降至9个月来的低点；上周美联储7月会议继续加息75基点，但美联储主席鲍威尔表示在某个时间点可能放慢加息节奏；金银出现利空出尽式反弹；尽管不排除金银在连续加息环境下再次偏空震荡，但美国经济再次进入衰退的可能性继续中长期利好金银。</w:t>
      </w:r>
    </w:p>
    <w:p w14:paraId="7066C11E" w14:textId="77777777" w:rsidR="006804CF" w:rsidRPr="006804CF" w:rsidRDefault="006804CF" w:rsidP="006804CF">
      <w:pPr>
        <w:spacing w:after="120" w:line="360" w:lineRule="auto"/>
        <w:rPr>
          <w:rFonts w:ascii="宋体" w:eastAsia="宋体" w:hAnsi="宋体" w:cs="宋体" w:hint="eastAsia"/>
          <w:sz w:val="24"/>
          <w:szCs w:val="24"/>
        </w:rPr>
      </w:pPr>
    </w:p>
    <w:p w14:paraId="35D8460E" w14:textId="6F6F7CAD" w:rsidR="006804CF" w:rsidRDefault="006804CF" w:rsidP="006804CF">
      <w:pPr>
        <w:spacing w:after="120" w:line="360" w:lineRule="auto"/>
        <w:rPr>
          <w:rFonts w:ascii="宋体" w:eastAsia="宋体" w:hAnsi="宋体" w:cs="宋体"/>
          <w:sz w:val="24"/>
          <w:szCs w:val="24"/>
        </w:rPr>
      </w:pPr>
      <w:r w:rsidRPr="006804CF">
        <w:rPr>
          <w:rFonts w:ascii="宋体" w:eastAsia="宋体" w:hAnsi="宋体" w:cs="宋体" w:hint="eastAsia"/>
          <w:b/>
          <w:bCs/>
          <w:sz w:val="24"/>
          <w:szCs w:val="24"/>
        </w:rPr>
        <w:t>原油：</w:t>
      </w:r>
      <w:r w:rsidRPr="006804CF">
        <w:rPr>
          <w:rFonts w:ascii="宋体" w:eastAsia="宋体" w:hAnsi="宋体" w:cs="宋体" w:hint="eastAsia"/>
          <w:sz w:val="24"/>
          <w:szCs w:val="24"/>
        </w:rPr>
        <w:t xml:space="preserve">根据媒体的一项调查，OPEC成员国7月份的日产量为2905万桶，较之前增加27万桶；其中沙特阿拉伯占了约三分之二的增量，日产量增加18万桶，至1078万桶，为2020年4月以来最高水平，这也是沙特数十年来罕见水平；阿联酋和科威特的产量也大幅增加阿联酋阿布扎比将日产量提高到324万桶，比OPEC+协议批准的日产量高出11.3万桶；美国在六个月内释放了1.8亿桶战略石油储备，相当于每天释放约100万桶，这使得油价在最近有所下降；目前油价返回100美元/桶下方持续震荡，油价未来整体前景依然看好。 </w:t>
      </w:r>
    </w:p>
    <w:p w14:paraId="230EF77B" w14:textId="77777777" w:rsidR="006804CF" w:rsidRPr="006804CF" w:rsidRDefault="006804CF" w:rsidP="006804CF">
      <w:pPr>
        <w:spacing w:after="120" w:line="360" w:lineRule="auto"/>
        <w:rPr>
          <w:rFonts w:ascii="宋体" w:eastAsia="宋体" w:hAnsi="宋体" w:cs="宋体" w:hint="eastAsia"/>
          <w:sz w:val="24"/>
          <w:szCs w:val="24"/>
        </w:rPr>
      </w:pPr>
    </w:p>
    <w:p w14:paraId="4504480C" w14:textId="77777777" w:rsidR="006804CF" w:rsidRPr="006804CF" w:rsidRDefault="006804CF" w:rsidP="006804CF">
      <w:pPr>
        <w:spacing w:after="120" w:line="360" w:lineRule="auto"/>
        <w:rPr>
          <w:rFonts w:ascii="宋体" w:eastAsia="宋体" w:hAnsi="宋体" w:cs="宋体" w:hint="eastAsia"/>
          <w:sz w:val="24"/>
          <w:szCs w:val="24"/>
        </w:rPr>
      </w:pPr>
      <w:r w:rsidRPr="006804CF">
        <w:rPr>
          <w:rFonts w:ascii="宋体" w:eastAsia="宋体" w:hAnsi="宋体" w:cs="宋体" w:hint="eastAsia"/>
          <w:b/>
          <w:bCs/>
          <w:sz w:val="24"/>
          <w:szCs w:val="24"/>
        </w:rPr>
        <w:t>股指期货（IF）：</w:t>
      </w:r>
      <w:r w:rsidRPr="006804CF">
        <w:rPr>
          <w:rFonts w:ascii="宋体" w:eastAsia="宋体" w:hAnsi="宋体" w:cs="宋体" w:hint="eastAsia"/>
          <w:sz w:val="24"/>
          <w:szCs w:val="24"/>
        </w:rPr>
        <w:t>今日早间高开后冲高回落，三大股指一度集体翻绿，</w:t>
      </w:r>
      <w:proofErr w:type="gramStart"/>
      <w:r w:rsidRPr="006804CF">
        <w:rPr>
          <w:rFonts w:ascii="宋体" w:eastAsia="宋体" w:hAnsi="宋体" w:cs="宋体" w:hint="eastAsia"/>
          <w:sz w:val="24"/>
          <w:szCs w:val="24"/>
        </w:rPr>
        <w:t>临近午盘前</w:t>
      </w:r>
      <w:proofErr w:type="gramEnd"/>
      <w:r w:rsidRPr="006804CF">
        <w:rPr>
          <w:rFonts w:ascii="宋体" w:eastAsia="宋体" w:hAnsi="宋体" w:cs="宋体" w:hint="eastAsia"/>
          <w:sz w:val="24"/>
          <w:szCs w:val="24"/>
        </w:rPr>
        <w:t>指数有所回升；消息面，福建海事局发布航行警告，部分海域禁止驶入；7月财新中国服务业PMI为2021年5月以来最高；国家电网年内在建项目总投资将突破万亿元；两部门：现代农业产业技术体系建设专项资金实行定额管理；整体看大盘已经上涨并完成一次回调，股指期货在震荡调整之后同样有望延续慢牛；股指期货中短线预判震荡偏多。</w:t>
      </w:r>
    </w:p>
    <w:p w14:paraId="2933D2F0" w14:textId="30554C42" w:rsidR="004B493F" w:rsidRDefault="006804CF" w:rsidP="006804CF">
      <w:pPr>
        <w:spacing w:after="120" w:line="360" w:lineRule="auto"/>
        <w:rPr>
          <w:rFonts w:ascii="宋体" w:eastAsia="宋体" w:hAnsi="宋体" w:cs="宋体"/>
          <w:sz w:val="24"/>
          <w:szCs w:val="24"/>
        </w:rPr>
      </w:pPr>
      <w:r w:rsidRPr="006804CF">
        <w:rPr>
          <w:rFonts w:ascii="宋体" w:eastAsia="宋体" w:hAnsi="宋体" w:cs="宋体" w:hint="eastAsia"/>
          <w:b/>
          <w:bCs/>
          <w:sz w:val="24"/>
          <w:szCs w:val="24"/>
        </w:rPr>
        <w:lastRenderedPageBreak/>
        <w:t>铜：</w:t>
      </w:r>
      <w:r w:rsidRPr="006804CF">
        <w:rPr>
          <w:rFonts w:ascii="宋体" w:eastAsia="宋体" w:hAnsi="宋体" w:cs="宋体" w:hint="eastAsia"/>
          <w:sz w:val="24"/>
          <w:szCs w:val="24"/>
        </w:rPr>
        <w:t>美众议院议长</w:t>
      </w:r>
      <w:proofErr w:type="gramStart"/>
      <w:r w:rsidRPr="006804CF">
        <w:rPr>
          <w:rFonts w:ascii="宋体" w:eastAsia="宋体" w:hAnsi="宋体" w:cs="宋体" w:hint="eastAsia"/>
          <w:sz w:val="24"/>
          <w:szCs w:val="24"/>
        </w:rPr>
        <w:t>佩洛西窜访台湾</w:t>
      </w:r>
      <w:proofErr w:type="gramEnd"/>
      <w:r w:rsidRPr="006804CF">
        <w:rPr>
          <w:rFonts w:ascii="宋体" w:eastAsia="宋体" w:hAnsi="宋体" w:cs="宋体" w:hint="eastAsia"/>
          <w:sz w:val="24"/>
          <w:szCs w:val="24"/>
        </w:rPr>
        <w:t>，地缘局势紧张，市场不确定性加大；</w:t>
      </w:r>
      <w:proofErr w:type="gramStart"/>
      <w:r w:rsidRPr="006804CF">
        <w:rPr>
          <w:rFonts w:ascii="宋体" w:eastAsia="宋体" w:hAnsi="宋体" w:cs="宋体" w:hint="eastAsia"/>
          <w:sz w:val="24"/>
          <w:szCs w:val="24"/>
        </w:rPr>
        <w:t>昨日伦铜收跌</w:t>
      </w:r>
      <w:proofErr w:type="gramEnd"/>
      <w:r w:rsidRPr="006804CF">
        <w:rPr>
          <w:rFonts w:ascii="宋体" w:eastAsia="宋体" w:hAnsi="宋体" w:cs="宋体" w:hint="eastAsia"/>
          <w:sz w:val="24"/>
          <w:szCs w:val="24"/>
        </w:rPr>
        <w:t>0.58%至7755美元/吨，沪铜主力收至60030元/吨；昨日LME库存减少300至130975吨，注销仓单比例降低，LME0-3升水2.3美元/吨；铜矿业端，蒙古国今年上半年铜精矿出口量大幅增加21.6%；上周五智利国家铜业委员会（</w:t>
      </w:r>
      <w:proofErr w:type="spellStart"/>
      <w:r w:rsidRPr="006804CF">
        <w:rPr>
          <w:rFonts w:ascii="宋体" w:eastAsia="宋体" w:hAnsi="宋体" w:cs="宋体" w:hint="eastAsia"/>
          <w:sz w:val="24"/>
          <w:szCs w:val="24"/>
        </w:rPr>
        <w:t>Cochilco</w:t>
      </w:r>
      <w:proofErr w:type="spellEnd"/>
      <w:r w:rsidRPr="006804CF">
        <w:rPr>
          <w:rFonts w:ascii="宋体" w:eastAsia="宋体" w:hAnsi="宋体" w:cs="宋体" w:hint="eastAsia"/>
          <w:sz w:val="24"/>
          <w:szCs w:val="24"/>
        </w:rPr>
        <w:t>）表示，今年智利铜产量将会同比降低3.4%，因为矿石品级下降，用水受限，以及工会举行抗议活动；</w:t>
      </w:r>
      <w:proofErr w:type="gramStart"/>
      <w:r w:rsidRPr="006804CF">
        <w:rPr>
          <w:rFonts w:ascii="宋体" w:eastAsia="宋体" w:hAnsi="宋体" w:cs="宋体" w:hint="eastAsia"/>
          <w:sz w:val="24"/>
          <w:szCs w:val="24"/>
        </w:rPr>
        <w:t>标普全球</w:t>
      </w:r>
      <w:proofErr w:type="gramEnd"/>
      <w:r w:rsidRPr="006804CF">
        <w:rPr>
          <w:rFonts w:ascii="宋体" w:eastAsia="宋体" w:hAnsi="宋体" w:cs="宋体" w:hint="eastAsia"/>
          <w:sz w:val="24"/>
          <w:szCs w:val="24"/>
        </w:rPr>
        <w:t>（S&amp;P Global）最新完成的详细分析报告《铜的未来》预计，大约从2025年开始，关键电池金属的需求量将超过供应量，从而导致电动汽车电池制造成本上升，并阻碍电动汽车的普及；由于海外滞涨明显，欧美</w:t>
      </w:r>
      <w:proofErr w:type="gramStart"/>
      <w:r w:rsidRPr="006804CF">
        <w:rPr>
          <w:rFonts w:ascii="宋体" w:eastAsia="宋体" w:hAnsi="宋体" w:cs="宋体" w:hint="eastAsia"/>
          <w:sz w:val="24"/>
          <w:szCs w:val="24"/>
        </w:rPr>
        <w:t>加息进程</w:t>
      </w:r>
      <w:proofErr w:type="gramEnd"/>
      <w:r w:rsidRPr="006804CF">
        <w:rPr>
          <w:rFonts w:ascii="宋体" w:eastAsia="宋体" w:hAnsi="宋体" w:cs="宋体" w:hint="eastAsia"/>
          <w:sz w:val="24"/>
          <w:szCs w:val="24"/>
        </w:rPr>
        <w:t>有减缓迹象，铜库存依旧维持低位，铜价有望获得一定支撑；今日沪铜主力运行区间参考：58900-60500元/吨。</w:t>
      </w:r>
    </w:p>
    <w:p w14:paraId="535B44E9" w14:textId="77777777" w:rsidR="006804CF" w:rsidRDefault="006804CF" w:rsidP="006804CF">
      <w:pPr>
        <w:spacing w:after="120" w:line="360" w:lineRule="auto"/>
        <w:rPr>
          <w:rFonts w:ascii="宋体" w:eastAsia="宋体" w:hAnsi="宋体" w:cs="宋体" w:hint="eastAsia"/>
          <w:sz w:val="24"/>
          <w:szCs w:val="24"/>
        </w:rPr>
      </w:pPr>
    </w:p>
    <w:p w14:paraId="3D51F6E0" w14:textId="2A9A1888" w:rsidR="004B493F" w:rsidRPr="004B493F" w:rsidRDefault="00000000" w:rsidP="004B493F">
      <w:pPr>
        <w:spacing w:after="120" w:line="360" w:lineRule="auto"/>
        <w:rPr>
          <w:rFonts w:ascii="宋体" w:eastAsia="宋体" w:hAnsi="宋体" w:cs="宋体"/>
          <w:sz w:val="24"/>
          <w:szCs w:val="24"/>
        </w:rPr>
      </w:pPr>
      <w:r>
        <w:rPr>
          <w:rFonts w:ascii="宋体" w:eastAsia="宋体" w:hAnsi="宋体" w:cs="宋体" w:hint="eastAsia"/>
          <w:b/>
          <w:bCs/>
          <w:sz w:val="24"/>
          <w:szCs w:val="24"/>
        </w:rPr>
        <w:t>铝：</w:t>
      </w:r>
    </w:p>
    <w:p w14:paraId="12635982" w14:textId="77777777" w:rsidR="00CF641B" w:rsidRP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期货盘面上，2022年08月03日，</w:t>
      </w:r>
      <w:proofErr w:type="gramStart"/>
      <w:r w:rsidRPr="00CF641B">
        <w:rPr>
          <w:rFonts w:ascii="宋体" w:eastAsia="宋体" w:hAnsi="宋体" w:cs="宋体" w:hint="eastAsia"/>
          <w:sz w:val="24"/>
          <w:szCs w:val="24"/>
        </w:rPr>
        <w:t>沪铝主力</w:t>
      </w:r>
      <w:proofErr w:type="gramEnd"/>
      <w:r w:rsidRPr="00CF641B">
        <w:rPr>
          <w:rFonts w:ascii="宋体" w:eastAsia="宋体" w:hAnsi="宋体" w:cs="宋体" w:hint="eastAsia"/>
          <w:sz w:val="24"/>
          <w:szCs w:val="24"/>
        </w:rPr>
        <w:t>合约AL2209开盘价为18070元/吨，收盘价为18250元/吨，结算价为18165元/吨，上涨0.91%，冲高回落。</w:t>
      </w:r>
    </w:p>
    <w:p w14:paraId="086D9803" w14:textId="77777777" w:rsidR="00CF641B" w:rsidRP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现货方面，今日长江有色电解铝均价18220元/吨，上涨50元/吨。</w:t>
      </w:r>
    </w:p>
    <w:p w14:paraId="6F6D5F03" w14:textId="77777777" w:rsidR="00CF641B" w:rsidRP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持仓方面，AL2209合约前二十名多头持仓90316，-4380；前二十名空头持仓97944,-4736，多减空减。</w:t>
      </w:r>
    </w:p>
    <w:p w14:paraId="51E2F192" w14:textId="77777777" w:rsidR="00CF641B" w:rsidRP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库存方面: 8月3日LME铝库存减少2100吨至294550吨，上期</w:t>
      </w:r>
      <w:proofErr w:type="gramStart"/>
      <w:r w:rsidRPr="00CF641B">
        <w:rPr>
          <w:rFonts w:ascii="宋体" w:eastAsia="宋体" w:hAnsi="宋体" w:cs="宋体" w:hint="eastAsia"/>
          <w:sz w:val="24"/>
          <w:szCs w:val="24"/>
        </w:rPr>
        <w:t>所铝减少</w:t>
      </w:r>
      <w:proofErr w:type="gramEnd"/>
      <w:r w:rsidRPr="00CF641B">
        <w:rPr>
          <w:rFonts w:ascii="宋体" w:eastAsia="宋体" w:hAnsi="宋体" w:cs="宋体" w:hint="eastAsia"/>
          <w:sz w:val="24"/>
          <w:szCs w:val="24"/>
        </w:rPr>
        <w:t>50吨至59631吨。</w:t>
      </w:r>
    </w:p>
    <w:p w14:paraId="0A5A5512" w14:textId="77777777" w:rsidR="00CF641B" w:rsidRP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上游方面： 截至8月3日，中国国产氧化铝建成产能为9670万吨，开工产能为8580万吨，开工率88.73%，刷新开年以来运行高点。氧化铝供需基本平稳，预计价格偏稳运行。</w:t>
      </w:r>
    </w:p>
    <w:p w14:paraId="467E3DA6" w14:textId="77777777" w:rsidR="00CF641B" w:rsidRP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宏观方面：8月3日，工信部等三部门印发工业领域</w:t>
      </w:r>
      <w:proofErr w:type="gramStart"/>
      <w:r w:rsidRPr="00CF641B">
        <w:rPr>
          <w:rFonts w:ascii="宋体" w:eastAsia="宋体" w:hAnsi="宋体" w:cs="宋体" w:hint="eastAsia"/>
          <w:sz w:val="24"/>
          <w:szCs w:val="24"/>
        </w:rPr>
        <w:t>碳达峰实施</w:t>
      </w:r>
      <w:proofErr w:type="gramEnd"/>
      <w:r w:rsidRPr="00CF641B">
        <w:rPr>
          <w:rFonts w:ascii="宋体" w:eastAsia="宋体" w:hAnsi="宋体" w:cs="宋体" w:hint="eastAsia"/>
          <w:sz w:val="24"/>
          <w:szCs w:val="24"/>
        </w:rPr>
        <w:t>方案，坚持电解铝产能总量约束，增产有可能会减缓，叠加局势偏紧，铝价格在下跌后略有回升。</w:t>
      </w:r>
    </w:p>
    <w:p w14:paraId="7F35DC61" w14:textId="4AE80C36" w:rsidR="004B493F" w:rsidRDefault="00CF641B" w:rsidP="00CF641B">
      <w:pPr>
        <w:spacing w:after="120" w:line="360" w:lineRule="auto"/>
        <w:rPr>
          <w:rFonts w:ascii="宋体" w:eastAsia="宋体" w:hAnsi="宋体" w:cs="宋体"/>
          <w:sz w:val="24"/>
          <w:szCs w:val="24"/>
        </w:rPr>
      </w:pPr>
      <w:r w:rsidRPr="00CF641B">
        <w:rPr>
          <w:rFonts w:ascii="宋体" w:eastAsia="宋体" w:hAnsi="宋体" w:cs="宋体" w:hint="eastAsia"/>
          <w:sz w:val="24"/>
          <w:szCs w:val="24"/>
        </w:rPr>
        <w:lastRenderedPageBreak/>
        <w:t>操作方面：上游价格偏稳运行，国内电解铝厂复工复产进度减缓，但未有大规模减产；下游处于消费淡季，表现不佳，叠加局势偏紧，预计AL2209主动合约围绕17900—18600这一区间震荡运行。</w:t>
      </w:r>
    </w:p>
    <w:p w14:paraId="43293F12" w14:textId="77777777" w:rsidR="00F23328" w:rsidRDefault="00F23328" w:rsidP="00CF641B">
      <w:pPr>
        <w:spacing w:after="120" w:line="360" w:lineRule="auto"/>
        <w:rPr>
          <w:rFonts w:ascii="宋体" w:eastAsia="宋体" w:hAnsi="宋体" w:cs="宋体" w:hint="eastAsia"/>
          <w:sz w:val="24"/>
          <w:szCs w:val="24"/>
        </w:rPr>
      </w:pPr>
    </w:p>
    <w:p w14:paraId="03C5BCAB" w14:textId="77777777" w:rsidR="005163F1" w:rsidRDefault="00000000">
      <w:pPr>
        <w:spacing w:after="120" w:line="360" w:lineRule="auto"/>
        <w:rPr>
          <w:rFonts w:ascii="宋体" w:eastAsia="宋体" w:hAnsi="宋体" w:cs="宋体"/>
          <w:b/>
          <w:bCs/>
          <w:sz w:val="24"/>
          <w:szCs w:val="24"/>
        </w:rPr>
      </w:pPr>
      <w:r>
        <w:rPr>
          <w:rFonts w:ascii="宋体" w:eastAsia="宋体" w:hAnsi="宋体" w:cs="宋体" w:hint="eastAsia"/>
          <w:b/>
          <w:bCs/>
          <w:sz w:val="24"/>
          <w:szCs w:val="24"/>
        </w:rPr>
        <w:t>甲醇：</w:t>
      </w:r>
    </w:p>
    <w:p w14:paraId="68221EAD" w14:textId="77777777" w:rsidR="00F23328" w:rsidRPr="00F23328" w:rsidRDefault="00F23328" w:rsidP="00F23328">
      <w:pPr>
        <w:spacing w:after="120" w:line="360" w:lineRule="auto"/>
        <w:rPr>
          <w:rFonts w:ascii="宋体" w:eastAsia="宋体" w:hAnsi="宋体" w:cs="宋体" w:hint="eastAsia"/>
          <w:sz w:val="24"/>
          <w:szCs w:val="24"/>
        </w:rPr>
      </w:pPr>
      <w:r w:rsidRPr="00F23328">
        <w:rPr>
          <w:rFonts w:ascii="宋体" w:eastAsia="宋体" w:hAnsi="宋体" w:cs="宋体" w:hint="eastAsia"/>
          <w:sz w:val="24"/>
          <w:szCs w:val="24"/>
        </w:rPr>
        <w:t>期货方面：甲醇期价宽幅整理，MA2209合约开盘于2539元/吨，</w:t>
      </w:r>
      <w:proofErr w:type="gramStart"/>
      <w:r w:rsidRPr="00F23328">
        <w:rPr>
          <w:rFonts w:ascii="宋体" w:eastAsia="宋体" w:hAnsi="宋体" w:cs="宋体" w:hint="eastAsia"/>
          <w:sz w:val="24"/>
          <w:szCs w:val="24"/>
        </w:rPr>
        <w:t>夜盘震荡</w:t>
      </w:r>
      <w:proofErr w:type="gramEnd"/>
      <w:r w:rsidRPr="00F23328">
        <w:rPr>
          <w:rFonts w:ascii="宋体" w:eastAsia="宋体" w:hAnsi="宋体" w:cs="宋体" w:hint="eastAsia"/>
          <w:sz w:val="24"/>
          <w:szCs w:val="24"/>
        </w:rPr>
        <w:t>走弱，最低下探2483元/吨，下午盘试探性反弹，最高上行至2570元/吨，不过尾盘回吐涨幅，报收于2537元/吨，呈现一根带较长上下影线的小阴线，结算价2532元/吨，涨幅0.24%。成交量1581890手，持仓量913295手，+40429手。MA2209合约前二十名多头持仓量629752手，+40385手，前二十名空头主力持仓量617016手，+50275手；多空主力具有显著增仓，空头增仓更为积极主动。</w:t>
      </w:r>
    </w:p>
    <w:p w14:paraId="538538EC" w14:textId="1111B0C6" w:rsidR="00415AB2" w:rsidRDefault="00F23328" w:rsidP="00F23328">
      <w:pPr>
        <w:spacing w:after="120" w:line="360" w:lineRule="auto"/>
        <w:rPr>
          <w:rFonts w:ascii="宋体" w:eastAsia="宋体" w:hAnsi="宋体" w:cs="宋体"/>
          <w:sz w:val="24"/>
          <w:szCs w:val="24"/>
        </w:rPr>
      </w:pPr>
      <w:r w:rsidRPr="00F23328">
        <w:rPr>
          <w:rFonts w:ascii="宋体" w:eastAsia="宋体" w:hAnsi="宋体" w:cs="宋体" w:hint="eastAsia"/>
          <w:sz w:val="24"/>
          <w:szCs w:val="24"/>
        </w:rPr>
        <w:t>伊朗运力问题导致进口补充预期下降，上周沿海地区价格反弹走高，8月份甲醇有去库预期，加上上周甲醇企业装修装置偏多，开工率低迷，供应端忧虑下，支撑价格反弹走高。不过，从需求端来看，甲醇制烯烃装置产能利用率持续下滑，传统需求醋酸、甲醛以及二甲醚产能利用率下滑，下游企业多</w:t>
      </w:r>
      <w:proofErr w:type="gramStart"/>
      <w:r w:rsidRPr="00F23328">
        <w:rPr>
          <w:rFonts w:ascii="宋体" w:eastAsia="宋体" w:hAnsi="宋体" w:cs="宋体" w:hint="eastAsia"/>
          <w:sz w:val="24"/>
          <w:szCs w:val="24"/>
        </w:rPr>
        <w:t>以刚需采购</w:t>
      </w:r>
      <w:proofErr w:type="gramEnd"/>
      <w:r w:rsidRPr="00F23328">
        <w:rPr>
          <w:rFonts w:ascii="宋体" w:eastAsia="宋体" w:hAnsi="宋体" w:cs="宋体" w:hint="eastAsia"/>
          <w:sz w:val="24"/>
          <w:szCs w:val="24"/>
        </w:rPr>
        <w:t>为主，需求端支撑有限。缺乏需求端配合下，价格上行放缓。近期来看，8月检修装置将陆续恢复，供应预期逐渐出现好转，而成本端来看，虽然目前正处于电</w:t>
      </w:r>
      <w:proofErr w:type="gramStart"/>
      <w:r w:rsidRPr="00F23328">
        <w:rPr>
          <w:rFonts w:ascii="宋体" w:eastAsia="宋体" w:hAnsi="宋体" w:cs="宋体" w:hint="eastAsia"/>
          <w:sz w:val="24"/>
          <w:szCs w:val="24"/>
        </w:rPr>
        <w:t>煤消费</w:t>
      </w:r>
      <w:proofErr w:type="gramEnd"/>
      <w:r w:rsidRPr="00F23328">
        <w:rPr>
          <w:rFonts w:ascii="宋体" w:eastAsia="宋体" w:hAnsi="宋体" w:cs="宋体" w:hint="eastAsia"/>
          <w:sz w:val="24"/>
          <w:szCs w:val="24"/>
        </w:rPr>
        <w:t>旺季，煤炭价格旺季已经出现回落，后续需求压力减轻后，价格重心可能会继续回调，成本端支撑减弱可能会拖累中期估值。甲醇期价反弹遇阻后承压回落，近期在2560下方震荡偏弱对待。</w:t>
      </w:r>
    </w:p>
    <w:p w14:paraId="6EB750C0" w14:textId="77777777" w:rsidR="00F23328" w:rsidRDefault="00F23328" w:rsidP="00F23328">
      <w:pPr>
        <w:spacing w:after="120" w:line="360" w:lineRule="auto"/>
        <w:rPr>
          <w:rFonts w:ascii="宋体" w:eastAsia="宋体" w:hAnsi="宋体" w:cs="宋体" w:hint="eastAsia"/>
          <w:sz w:val="24"/>
          <w:szCs w:val="24"/>
        </w:rPr>
      </w:pPr>
    </w:p>
    <w:p w14:paraId="5877C757" w14:textId="77777777" w:rsidR="005163F1" w:rsidRDefault="00000000">
      <w:pPr>
        <w:spacing w:after="120" w:line="360" w:lineRule="auto"/>
        <w:rPr>
          <w:rFonts w:ascii="宋体" w:eastAsia="宋体" w:hAnsi="宋体" w:cs="宋体"/>
          <w:b/>
          <w:sz w:val="24"/>
          <w:szCs w:val="24"/>
        </w:rPr>
      </w:pPr>
      <w:r>
        <w:rPr>
          <w:rFonts w:ascii="宋体" w:eastAsia="宋体" w:hAnsi="宋体" w:cs="宋体" w:hint="eastAsia"/>
          <w:b/>
          <w:sz w:val="24"/>
          <w:szCs w:val="24"/>
        </w:rPr>
        <w:t>PTA ：</w:t>
      </w:r>
    </w:p>
    <w:p w14:paraId="13271F97" w14:textId="77777777" w:rsidR="00F23328" w:rsidRPr="00F23328" w:rsidRDefault="00F23328" w:rsidP="00F23328">
      <w:pPr>
        <w:spacing w:after="120" w:line="360" w:lineRule="auto"/>
        <w:rPr>
          <w:rFonts w:ascii="宋体" w:eastAsia="宋体" w:hAnsi="宋体" w:cs="宋体" w:hint="eastAsia"/>
          <w:sz w:val="24"/>
          <w:szCs w:val="24"/>
        </w:rPr>
      </w:pPr>
      <w:r w:rsidRPr="00F23328">
        <w:rPr>
          <w:rFonts w:ascii="宋体" w:eastAsia="宋体" w:hAnsi="宋体" w:cs="宋体" w:hint="eastAsia"/>
          <w:sz w:val="24"/>
          <w:szCs w:val="24"/>
        </w:rPr>
        <w:t>期货方面：PTA期价窄幅震荡收小阳，TA2209合约开盘于5866元/吨，期价震荡盘整，最低5808元/吨，下午盘试探性反弹，最高5916元/吨，尾盘报收于5876元/吨，呈现一根带上下影线的小阳线，结算价5864元/吨，涨幅0.93%。成交量1102925手，持仓量705585手，-26293手，主力资金逐渐向远期1月合约转移。</w:t>
      </w:r>
    </w:p>
    <w:p w14:paraId="5EF3AA49" w14:textId="77777777" w:rsidR="00F23328" w:rsidRPr="00F23328" w:rsidRDefault="00F23328" w:rsidP="00F23328">
      <w:pPr>
        <w:spacing w:after="120" w:line="360" w:lineRule="auto"/>
        <w:rPr>
          <w:rFonts w:ascii="宋体" w:eastAsia="宋体" w:hAnsi="宋体" w:cs="宋体" w:hint="eastAsia"/>
          <w:sz w:val="24"/>
          <w:szCs w:val="24"/>
        </w:rPr>
      </w:pPr>
      <w:r w:rsidRPr="00F23328">
        <w:rPr>
          <w:rFonts w:ascii="宋体" w:eastAsia="宋体" w:hAnsi="宋体" w:cs="宋体" w:hint="eastAsia"/>
          <w:sz w:val="24"/>
          <w:szCs w:val="24"/>
        </w:rPr>
        <w:lastRenderedPageBreak/>
        <w:t>TA2209合约前二十名多头持仓量448383手，-13066手，前二十名空头主力持仓量441247手，-17059手；多空主力减持，空头主力减</w:t>
      </w:r>
      <w:proofErr w:type="gramStart"/>
      <w:r w:rsidRPr="00F23328">
        <w:rPr>
          <w:rFonts w:ascii="宋体" w:eastAsia="宋体" w:hAnsi="宋体" w:cs="宋体" w:hint="eastAsia"/>
          <w:sz w:val="24"/>
          <w:szCs w:val="24"/>
        </w:rPr>
        <w:t>仓更为</w:t>
      </w:r>
      <w:proofErr w:type="gramEnd"/>
      <w:r w:rsidRPr="00F23328">
        <w:rPr>
          <w:rFonts w:ascii="宋体" w:eastAsia="宋体" w:hAnsi="宋体" w:cs="宋体" w:hint="eastAsia"/>
          <w:sz w:val="24"/>
          <w:szCs w:val="24"/>
        </w:rPr>
        <w:t>积极，远期1月合约多空主力微幅增仓。</w:t>
      </w:r>
    </w:p>
    <w:p w14:paraId="3F2A74BC" w14:textId="46D1C5F3" w:rsidR="00AD6754" w:rsidRDefault="00F23328" w:rsidP="00F23328">
      <w:pPr>
        <w:spacing w:after="120" w:line="360" w:lineRule="auto"/>
        <w:rPr>
          <w:rFonts w:ascii="宋体" w:eastAsia="宋体" w:hAnsi="宋体" w:cs="宋体"/>
          <w:sz w:val="24"/>
          <w:szCs w:val="24"/>
        </w:rPr>
      </w:pPr>
      <w:r w:rsidRPr="00F23328">
        <w:rPr>
          <w:rFonts w:ascii="宋体" w:eastAsia="宋体" w:hAnsi="宋体" w:cs="宋体" w:hint="eastAsia"/>
          <w:sz w:val="24"/>
          <w:szCs w:val="24"/>
        </w:rPr>
        <w:t>目前原油震荡盘整，PX价格小幅下调，不过PXN价差扩大，后续PX供应或有好转。原油以及PX价格回落，成本端支撑减弱，并且，从需求端来看，聚酯开工率短期略有好转，但远低于往年同期水平，需求的弱势仍在持续，特别是目前下游长丝产品库存依然偏高，短</w:t>
      </w:r>
      <w:proofErr w:type="gramStart"/>
      <w:r w:rsidRPr="00F23328">
        <w:rPr>
          <w:rFonts w:ascii="宋体" w:eastAsia="宋体" w:hAnsi="宋体" w:cs="宋体" w:hint="eastAsia"/>
          <w:sz w:val="24"/>
          <w:szCs w:val="24"/>
        </w:rPr>
        <w:t>纤</w:t>
      </w:r>
      <w:proofErr w:type="gramEnd"/>
      <w:r w:rsidRPr="00F23328">
        <w:rPr>
          <w:rFonts w:ascii="宋体" w:eastAsia="宋体" w:hAnsi="宋体" w:cs="宋体" w:hint="eastAsia"/>
          <w:sz w:val="24"/>
          <w:szCs w:val="24"/>
        </w:rPr>
        <w:t>以及长丝产销率仍处于偏低水平，而终端纺织行业也表现低迷，下游库存消耗可能还需时间，需求端支撑有限。但是，目前</w:t>
      </w:r>
      <w:proofErr w:type="spellStart"/>
      <w:r w:rsidRPr="00F23328">
        <w:rPr>
          <w:rFonts w:ascii="宋体" w:eastAsia="宋体" w:hAnsi="宋体" w:cs="宋体" w:hint="eastAsia"/>
          <w:sz w:val="24"/>
          <w:szCs w:val="24"/>
        </w:rPr>
        <w:t>pta</w:t>
      </w:r>
      <w:proofErr w:type="spellEnd"/>
      <w:r w:rsidRPr="00F23328">
        <w:rPr>
          <w:rFonts w:ascii="宋体" w:eastAsia="宋体" w:hAnsi="宋体" w:cs="宋体" w:hint="eastAsia"/>
          <w:sz w:val="24"/>
          <w:szCs w:val="24"/>
        </w:rPr>
        <w:t>加工费处于往年同期偏低水平，加工亏损导致企业开工积极性不高，近期仍有部分装置延续检修，供应</w:t>
      </w:r>
      <w:proofErr w:type="gramStart"/>
      <w:r w:rsidRPr="00F23328">
        <w:rPr>
          <w:rFonts w:ascii="宋体" w:eastAsia="宋体" w:hAnsi="宋体" w:cs="宋体" w:hint="eastAsia"/>
          <w:sz w:val="24"/>
          <w:szCs w:val="24"/>
        </w:rPr>
        <w:t>端依然</w:t>
      </w:r>
      <w:proofErr w:type="gramEnd"/>
      <w:r w:rsidRPr="00F23328">
        <w:rPr>
          <w:rFonts w:ascii="宋体" w:eastAsia="宋体" w:hAnsi="宋体" w:cs="宋体" w:hint="eastAsia"/>
          <w:sz w:val="24"/>
          <w:szCs w:val="24"/>
        </w:rPr>
        <w:t>偏紧。全社会库存以及PTA仓单处于往年同期偏低水平，供应偏紧叠加库存偏低，临近交割月，</w:t>
      </w:r>
      <w:proofErr w:type="gramStart"/>
      <w:r w:rsidRPr="00F23328">
        <w:rPr>
          <w:rFonts w:ascii="宋体" w:eastAsia="宋体" w:hAnsi="宋体" w:cs="宋体" w:hint="eastAsia"/>
          <w:sz w:val="24"/>
          <w:szCs w:val="24"/>
        </w:rPr>
        <w:t>基差回归</w:t>
      </w:r>
      <w:proofErr w:type="gramEnd"/>
      <w:r w:rsidRPr="00F23328">
        <w:rPr>
          <w:rFonts w:ascii="宋体" w:eastAsia="宋体" w:hAnsi="宋体" w:cs="宋体" w:hint="eastAsia"/>
          <w:sz w:val="24"/>
          <w:szCs w:val="24"/>
        </w:rPr>
        <w:t>需求下，近期9月合约价格表现出一定的抗跌性，期价在5600上方或震荡偏强，但缺乏需求配合下，价格反弹空间也将有限，近期高位震荡对待，9月合约关注5600-6000区间。</w:t>
      </w:r>
    </w:p>
    <w:p w14:paraId="78A3DB8F" w14:textId="77777777" w:rsidR="00F23328" w:rsidRDefault="00F23328" w:rsidP="00F23328">
      <w:pPr>
        <w:spacing w:after="120" w:line="360" w:lineRule="auto"/>
        <w:rPr>
          <w:rFonts w:ascii="宋体" w:eastAsia="宋体" w:hAnsi="宋体" w:cs="宋体" w:hint="eastAsia"/>
          <w:sz w:val="24"/>
          <w:szCs w:val="24"/>
        </w:rPr>
      </w:pPr>
    </w:p>
    <w:p w14:paraId="474BCE6C" w14:textId="77777777" w:rsidR="00CF641B" w:rsidRDefault="00000000" w:rsidP="00CF641B">
      <w:pPr>
        <w:spacing w:after="120" w:line="360" w:lineRule="auto"/>
        <w:rPr>
          <w:rFonts w:ascii="宋体" w:eastAsia="宋体" w:hAnsi="宋体" w:cs="宋体"/>
          <w:sz w:val="24"/>
          <w:szCs w:val="24"/>
        </w:rPr>
      </w:pPr>
      <w:r>
        <w:rPr>
          <w:rFonts w:ascii="宋体" w:eastAsia="宋体" w:hAnsi="宋体" w:cs="宋体" w:hint="eastAsia"/>
          <w:b/>
          <w:bCs/>
          <w:sz w:val="24"/>
          <w:szCs w:val="24"/>
        </w:rPr>
        <w:t>生猪：</w:t>
      </w:r>
      <w:r w:rsidR="00CF641B" w:rsidRPr="00CF641B">
        <w:rPr>
          <w:rFonts w:ascii="宋体" w:eastAsia="宋体" w:hAnsi="宋体" w:cs="宋体" w:hint="eastAsia"/>
          <w:sz w:val="24"/>
          <w:szCs w:val="24"/>
        </w:rPr>
        <w:t>北方现货价格回落，生猪期货震荡下行。</w:t>
      </w:r>
    </w:p>
    <w:p w14:paraId="4149DBC8" w14:textId="412AE673" w:rsidR="00C839EE" w:rsidRDefault="00CF641B" w:rsidP="00CF641B">
      <w:pPr>
        <w:spacing w:after="120" w:line="360" w:lineRule="auto"/>
        <w:rPr>
          <w:rFonts w:ascii="宋体" w:eastAsia="宋体" w:hAnsi="宋体" w:cs="宋体"/>
          <w:sz w:val="24"/>
          <w:szCs w:val="24"/>
        </w:rPr>
      </w:pPr>
      <w:r w:rsidRPr="00CF641B">
        <w:rPr>
          <w:rFonts w:ascii="宋体" w:eastAsia="宋体" w:hAnsi="宋体" w:cs="宋体" w:hint="eastAsia"/>
          <w:sz w:val="24"/>
          <w:szCs w:val="24"/>
        </w:rPr>
        <w:t>现货来看，据涌溢咨询数据显示，今日北方区域价格回落，主要原因体现在集团公司出栏量增加，屠宰厂抓猪困难度较低，且终端走货一直未见明显好转，故导致屠宰量一直位于低位运行，短期内价格上行或会受阻。南方市场今日价格延续昨日涨势，南方整体处于后期补涨阶段，叠加市场走货尚可，价格上涨较有支撑，但后期受北方跌价影响，价格再次上行受挫，或会趋稳后下行。期货盘面上，生猪期货主力09合约低开低走，一路震荡下行，但总体跌幅不大，量</w:t>
      </w:r>
      <w:proofErr w:type="gramStart"/>
      <w:r w:rsidRPr="00CF641B">
        <w:rPr>
          <w:rFonts w:ascii="宋体" w:eastAsia="宋体" w:hAnsi="宋体" w:cs="宋体" w:hint="eastAsia"/>
          <w:sz w:val="24"/>
          <w:szCs w:val="24"/>
        </w:rPr>
        <w:t>缩仓减成交</w:t>
      </w:r>
      <w:proofErr w:type="gramEnd"/>
      <w:r w:rsidRPr="00CF641B">
        <w:rPr>
          <w:rFonts w:ascii="宋体" w:eastAsia="宋体" w:hAnsi="宋体" w:cs="宋体" w:hint="eastAsia"/>
          <w:sz w:val="24"/>
          <w:szCs w:val="24"/>
        </w:rPr>
        <w:t>进一步萎缩，主力持续向LH2301合约进行移仓，收盘录得-1.25%的涨跌幅，收盘价报20530元/吨。其他远月合约则是全线收跌，依旧呈现出</w:t>
      </w:r>
      <w:proofErr w:type="gramStart"/>
      <w:r w:rsidRPr="00CF641B">
        <w:rPr>
          <w:rFonts w:ascii="宋体" w:eastAsia="宋体" w:hAnsi="宋体" w:cs="宋体" w:hint="eastAsia"/>
          <w:sz w:val="24"/>
          <w:szCs w:val="24"/>
        </w:rPr>
        <w:t>近弱远强</w:t>
      </w:r>
      <w:proofErr w:type="gramEnd"/>
      <w:r w:rsidRPr="00CF641B">
        <w:rPr>
          <w:rFonts w:ascii="宋体" w:eastAsia="宋体" w:hAnsi="宋体" w:cs="宋体" w:hint="eastAsia"/>
          <w:sz w:val="24"/>
          <w:szCs w:val="24"/>
        </w:rPr>
        <w:t>的格局。主力09合约持仓上看，前二十名主力净持仓仍旧呈现净空状态，多空主力都在积极减仓，今天多头主力减</w:t>
      </w:r>
      <w:proofErr w:type="gramStart"/>
      <w:r w:rsidRPr="00CF641B">
        <w:rPr>
          <w:rFonts w:ascii="宋体" w:eastAsia="宋体" w:hAnsi="宋体" w:cs="宋体" w:hint="eastAsia"/>
          <w:sz w:val="24"/>
          <w:szCs w:val="24"/>
        </w:rPr>
        <w:t>仓更为</w:t>
      </w:r>
      <w:proofErr w:type="gramEnd"/>
      <w:r w:rsidRPr="00CF641B">
        <w:rPr>
          <w:rFonts w:ascii="宋体" w:eastAsia="宋体" w:hAnsi="宋体" w:cs="宋体" w:hint="eastAsia"/>
          <w:sz w:val="24"/>
          <w:szCs w:val="24"/>
        </w:rPr>
        <w:t>积极。技术上，生猪期货主力近日出现明显的移仓迹象，主力料将在近几个交易日转换成2301合约，LH2301表现相对强于LH2209合约，近期暂且延续震荡偏多的观点。套利方面，随着对未来走势分歧的</w:t>
      </w:r>
      <w:r w:rsidRPr="00CF641B">
        <w:rPr>
          <w:rFonts w:ascii="宋体" w:eastAsia="宋体" w:hAnsi="宋体" w:cs="宋体" w:hint="eastAsia"/>
          <w:sz w:val="24"/>
          <w:szCs w:val="24"/>
        </w:rPr>
        <w:lastRenderedPageBreak/>
        <w:t>加大，价格波动加剧，单边操作的难度上升，可以继续关注多LH2301空2209的套利交易机会。今天LH2301-2209的价差冲高回落，依旧是多头套利单在高位止盈的思路对待。</w:t>
      </w:r>
    </w:p>
    <w:p w14:paraId="25D79A07" w14:textId="77777777" w:rsidR="00F23328" w:rsidRDefault="00F23328" w:rsidP="00CF641B">
      <w:pPr>
        <w:spacing w:after="120" w:line="360" w:lineRule="auto"/>
        <w:rPr>
          <w:rFonts w:ascii="宋体" w:eastAsia="宋体" w:hAnsi="宋体" w:cs="宋体" w:hint="eastAsia"/>
          <w:sz w:val="24"/>
          <w:szCs w:val="24"/>
        </w:rPr>
      </w:pPr>
    </w:p>
    <w:p w14:paraId="4890E136" w14:textId="77777777" w:rsidR="005163F1" w:rsidRDefault="00000000">
      <w:pPr>
        <w:spacing w:after="120" w:line="360" w:lineRule="auto"/>
        <w:rPr>
          <w:rFonts w:ascii="宋体" w:eastAsia="宋体" w:hAnsi="宋体" w:cs="宋体"/>
          <w:sz w:val="24"/>
          <w:szCs w:val="24"/>
        </w:rPr>
      </w:pPr>
      <w:r>
        <w:rPr>
          <w:rFonts w:ascii="宋体" w:eastAsia="宋体" w:hAnsi="宋体" w:cs="宋体" w:hint="eastAsia"/>
          <w:b/>
          <w:sz w:val="24"/>
          <w:szCs w:val="24"/>
        </w:rPr>
        <w:t xml:space="preserve">棉花: </w:t>
      </w:r>
    </w:p>
    <w:p w14:paraId="41CCA128" w14:textId="77777777" w:rsidR="00CF641B" w:rsidRDefault="00CF641B" w:rsidP="00CF641B">
      <w:pPr>
        <w:spacing w:after="120" w:line="360" w:lineRule="auto"/>
        <w:rPr>
          <w:rFonts w:ascii="宋体" w:eastAsia="宋体" w:hAnsi="宋体" w:cs="宋体"/>
          <w:sz w:val="24"/>
          <w:szCs w:val="24"/>
        </w:rPr>
      </w:pPr>
      <w:r w:rsidRPr="00CF641B">
        <w:rPr>
          <w:rFonts w:ascii="宋体" w:eastAsia="宋体" w:hAnsi="宋体" w:cs="宋体" w:hint="eastAsia"/>
          <w:sz w:val="24"/>
          <w:szCs w:val="24"/>
        </w:rPr>
        <w:t>据中国棉花信息网，中国棉花价格指数3128B报价15674元/吨，较上个交易日下调104元/吨。</w:t>
      </w:r>
    </w:p>
    <w:p w14:paraId="10367567" w14:textId="4DD6BAE4" w:rsidR="00CF641B" w:rsidRP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自7月以来印度南部棉区特伦甘纳邦遭受持续降水及其导致的洪水灾害，给当地的生活和农业生产造成了严重的不利影响。新年度特伦甘纳邦预期植棉面积在750万英亩，截至7月28日已完成植棉目标的59%，但其中有三分之一的作物“遭遇不测”。此外，随着棉花、大豆、玉米等作物的最佳播种期已经过去，不少农户或将考虑改种水稻。</w:t>
      </w:r>
    </w:p>
    <w:p w14:paraId="144298BB" w14:textId="77777777" w:rsidR="00CF641B" w:rsidRP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出疆棉公路发运量持续回升，下游接货意愿仍在回升。随着棉价回落，在棉花供给宽松的供需格局下，下游采购意愿有所回升，但仍保持谨慎，纺纱厂棉花库存缓慢抬升，但开机率仍然较低，因纱线库存压力仍然较大。目前，下游纺织企业比较看好旺季订单，未来仍需关注8月份中下旬起9、10月份的旺季订单是否有恢复，目前价格更多受宏观、政策消息等因素影响。</w:t>
      </w:r>
    </w:p>
    <w:p w14:paraId="59EA0D22" w14:textId="77777777" w:rsidR="00CF641B" w:rsidRP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美棉12合约盘中下跌至区间低点93美分获得支撑，震荡上行，未来一段时间段内将在93-100美分这一上有压、下有支撑的一个范围内胶着震荡。</w:t>
      </w:r>
    </w:p>
    <w:p w14:paraId="768B01F3" w14:textId="19CA00D5" w:rsidR="00CF641B" w:rsidRDefault="00CF641B" w:rsidP="00CF641B">
      <w:pPr>
        <w:spacing w:after="120" w:line="360" w:lineRule="auto"/>
        <w:rPr>
          <w:rFonts w:ascii="宋体" w:eastAsia="宋体" w:hAnsi="宋体" w:cs="宋体"/>
          <w:sz w:val="24"/>
          <w:szCs w:val="24"/>
        </w:rPr>
      </w:pPr>
      <w:r w:rsidRPr="00CF641B">
        <w:rPr>
          <w:rFonts w:ascii="宋体" w:eastAsia="宋体" w:hAnsi="宋体" w:cs="宋体" w:hint="eastAsia"/>
          <w:sz w:val="24"/>
          <w:szCs w:val="24"/>
        </w:rPr>
        <w:t>截至收盘，CF2301收涨0.25%，报13970元/吨，持仓+10433手。盘面上，郑</w:t>
      </w:r>
      <w:proofErr w:type="gramStart"/>
      <w:r w:rsidRPr="00CF641B">
        <w:rPr>
          <w:rFonts w:ascii="宋体" w:eastAsia="宋体" w:hAnsi="宋体" w:cs="宋体" w:hint="eastAsia"/>
          <w:sz w:val="24"/>
          <w:szCs w:val="24"/>
        </w:rPr>
        <w:t>棉主力</w:t>
      </w:r>
      <w:proofErr w:type="gramEnd"/>
      <w:r w:rsidRPr="00CF641B">
        <w:rPr>
          <w:rFonts w:ascii="宋体" w:eastAsia="宋体" w:hAnsi="宋体" w:cs="宋体" w:hint="eastAsia"/>
          <w:sz w:val="24"/>
          <w:szCs w:val="24"/>
        </w:rPr>
        <w:t>01合约弱势反弹，目前仍处下行方向，可借助反弹逢高</w:t>
      </w:r>
      <w:proofErr w:type="gramStart"/>
      <w:r w:rsidRPr="00CF641B">
        <w:rPr>
          <w:rFonts w:ascii="宋体" w:eastAsia="宋体" w:hAnsi="宋体" w:cs="宋体" w:hint="eastAsia"/>
          <w:sz w:val="24"/>
          <w:szCs w:val="24"/>
        </w:rPr>
        <w:t>轻仓布空</w:t>
      </w:r>
      <w:proofErr w:type="gramEnd"/>
      <w:r w:rsidRPr="00CF641B">
        <w:rPr>
          <w:rFonts w:ascii="宋体" w:eastAsia="宋体" w:hAnsi="宋体" w:cs="宋体" w:hint="eastAsia"/>
          <w:sz w:val="24"/>
          <w:szCs w:val="24"/>
        </w:rPr>
        <w:t>，整体仍以震荡思路对待，短</w:t>
      </w:r>
      <w:proofErr w:type="gramStart"/>
      <w:r w:rsidRPr="00CF641B">
        <w:rPr>
          <w:rFonts w:ascii="宋体" w:eastAsia="宋体" w:hAnsi="宋体" w:cs="宋体" w:hint="eastAsia"/>
          <w:sz w:val="24"/>
          <w:szCs w:val="24"/>
        </w:rPr>
        <w:t>空交易</w:t>
      </w:r>
      <w:proofErr w:type="gramEnd"/>
      <w:r w:rsidRPr="00CF641B">
        <w:rPr>
          <w:rFonts w:ascii="宋体" w:eastAsia="宋体" w:hAnsi="宋体" w:cs="宋体" w:hint="eastAsia"/>
          <w:sz w:val="24"/>
          <w:szCs w:val="24"/>
        </w:rPr>
        <w:t>为主。</w:t>
      </w:r>
    </w:p>
    <w:p w14:paraId="758EA153" w14:textId="77777777" w:rsidR="00CF641B" w:rsidRDefault="00CF641B" w:rsidP="00CF641B">
      <w:pPr>
        <w:spacing w:after="120" w:line="360" w:lineRule="auto"/>
        <w:rPr>
          <w:rFonts w:ascii="宋体" w:eastAsia="宋体" w:hAnsi="宋体" w:cs="宋体" w:hint="eastAsia"/>
          <w:sz w:val="24"/>
          <w:szCs w:val="24"/>
        </w:rPr>
      </w:pPr>
    </w:p>
    <w:p w14:paraId="43C9E42E" w14:textId="77777777" w:rsidR="005163F1" w:rsidRDefault="00000000">
      <w:pPr>
        <w:spacing w:after="120" w:line="360" w:lineRule="auto"/>
        <w:rPr>
          <w:rFonts w:ascii="宋体" w:eastAsia="宋体" w:hAnsi="宋体" w:cs="宋体"/>
          <w:b/>
          <w:sz w:val="24"/>
          <w:szCs w:val="24"/>
        </w:rPr>
      </w:pPr>
      <w:r>
        <w:rPr>
          <w:rFonts w:ascii="宋体" w:eastAsia="宋体" w:hAnsi="宋体" w:cs="宋体" w:hint="eastAsia"/>
          <w:b/>
          <w:sz w:val="24"/>
          <w:szCs w:val="24"/>
        </w:rPr>
        <w:t>豆</w:t>
      </w:r>
      <w:proofErr w:type="gramStart"/>
      <w:r>
        <w:rPr>
          <w:rFonts w:ascii="宋体" w:eastAsia="宋体" w:hAnsi="宋体" w:cs="宋体" w:hint="eastAsia"/>
          <w:b/>
          <w:sz w:val="24"/>
          <w:szCs w:val="24"/>
        </w:rPr>
        <w:t>粕</w:t>
      </w:r>
      <w:proofErr w:type="gramEnd"/>
      <w:r>
        <w:rPr>
          <w:rFonts w:ascii="宋体" w:eastAsia="宋体" w:hAnsi="宋体" w:cs="宋体" w:hint="eastAsia"/>
          <w:b/>
          <w:sz w:val="24"/>
          <w:szCs w:val="24"/>
        </w:rPr>
        <w:t>：</w:t>
      </w:r>
    </w:p>
    <w:p w14:paraId="4F9DACF8" w14:textId="77777777" w:rsidR="00F23328" w:rsidRPr="00F23328" w:rsidRDefault="00F23328" w:rsidP="00F23328">
      <w:pPr>
        <w:spacing w:after="120" w:line="360" w:lineRule="auto"/>
        <w:rPr>
          <w:rFonts w:ascii="宋体" w:eastAsia="宋体" w:hAnsi="宋体" w:cs="宋体" w:hint="eastAsia"/>
          <w:sz w:val="24"/>
          <w:szCs w:val="24"/>
        </w:rPr>
      </w:pPr>
      <w:r w:rsidRPr="00F23328">
        <w:rPr>
          <w:rFonts w:ascii="宋体" w:eastAsia="宋体" w:hAnsi="宋体" w:cs="宋体" w:hint="eastAsia"/>
          <w:sz w:val="24"/>
          <w:szCs w:val="24"/>
        </w:rPr>
        <w:t>豆</w:t>
      </w:r>
      <w:proofErr w:type="gramStart"/>
      <w:r w:rsidRPr="00F23328">
        <w:rPr>
          <w:rFonts w:ascii="宋体" w:eastAsia="宋体" w:hAnsi="宋体" w:cs="宋体" w:hint="eastAsia"/>
          <w:sz w:val="24"/>
          <w:szCs w:val="24"/>
        </w:rPr>
        <w:t>粕</w:t>
      </w:r>
      <w:proofErr w:type="gramEnd"/>
      <w:r w:rsidRPr="00F23328">
        <w:rPr>
          <w:rFonts w:ascii="宋体" w:eastAsia="宋体" w:hAnsi="宋体" w:cs="宋体" w:hint="eastAsia"/>
          <w:sz w:val="24"/>
          <w:szCs w:val="24"/>
        </w:rPr>
        <w:t>现货方面，截至8月3日，东北大连地区出厂价为4280元/吨，上调20元/吨；华北天津出厂价4210元/吨，上调20元/吨；山东日照出厂价4180元/吨，</w:t>
      </w:r>
      <w:r w:rsidRPr="00F23328">
        <w:rPr>
          <w:rFonts w:ascii="宋体" w:eastAsia="宋体" w:hAnsi="宋体" w:cs="宋体" w:hint="eastAsia"/>
          <w:sz w:val="24"/>
          <w:szCs w:val="24"/>
        </w:rPr>
        <w:lastRenderedPageBreak/>
        <w:t>持平；江苏张家港报价4170元/吨，上调20元/吨；广东珠三角出厂价4160元/吨，上调20元/吨。豆</w:t>
      </w:r>
      <w:proofErr w:type="gramStart"/>
      <w:r w:rsidRPr="00F23328">
        <w:rPr>
          <w:rFonts w:ascii="宋体" w:eastAsia="宋体" w:hAnsi="宋体" w:cs="宋体" w:hint="eastAsia"/>
          <w:sz w:val="24"/>
          <w:szCs w:val="24"/>
        </w:rPr>
        <w:t>粕</w:t>
      </w:r>
      <w:proofErr w:type="gramEnd"/>
      <w:r w:rsidRPr="00F23328">
        <w:rPr>
          <w:rFonts w:ascii="宋体" w:eastAsia="宋体" w:hAnsi="宋体" w:cs="宋体" w:hint="eastAsia"/>
          <w:sz w:val="24"/>
          <w:szCs w:val="24"/>
        </w:rPr>
        <w:t>主力M2209合约收盘报3970元/吨，涨幅0.33%，持仓-30501手。M2301合约收盘报3600元/吨，跌幅0.44%，持仓+19836手至717253手。</w:t>
      </w:r>
    </w:p>
    <w:p w14:paraId="6F018793" w14:textId="77777777" w:rsidR="00F23328" w:rsidRPr="00F23328" w:rsidRDefault="00F23328" w:rsidP="00F23328">
      <w:pPr>
        <w:spacing w:after="120" w:line="360" w:lineRule="auto"/>
        <w:rPr>
          <w:rFonts w:ascii="宋体" w:eastAsia="宋体" w:hAnsi="宋体" w:cs="宋体" w:hint="eastAsia"/>
          <w:sz w:val="24"/>
          <w:szCs w:val="24"/>
        </w:rPr>
      </w:pPr>
      <w:r w:rsidRPr="00F23328">
        <w:rPr>
          <w:rFonts w:ascii="宋体" w:eastAsia="宋体" w:hAnsi="宋体" w:cs="宋体" w:hint="eastAsia"/>
          <w:sz w:val="24"/>
          <w:szCs w:val="24"/>
        </w:rPr>
        <w:t>油厂方面，上周开工率小幅增加至60.59%，豆</w:t>
      </w:r>
      <w:proofErr w:type="gramStart"/>
      <w:r w:rsidRPr="00F23328">
        <w:rPr>
          <w:rFonts w:ascii="宋体" w:eastAsia="宋体" w:hAnsi="宋体" w:cs="宋体" w:hint="eastAsia"/>
          <w:sz w:val="24"/>
          <w:szCs w:val="24"/>
        </w:rPr>
        <w:t>粕产量环</w:t>
      </w:r>
      <w:proofErr w:type="gramEnd"/>
      <w:r w:rsidRPr="00F23328">
        <w:rPr>
          <w:rFonts w:ascii="宋体" w:eastAsia="宋体" w:hAnsi="宋体" w:cs="宋体" w:hint="eastAsia"/>
          <w:sz w:val="24"/>
          <w:szCs w:val="24"/>
        </w:rPr>
        <w:t>比+4.2万吨。截至7月29日当周，主要油厂豆</w:t>
      </w:r>
      <w:proofErr w:type="gramStart"/>
      <w:r w:rsidRPr="00F23328">
        <w:rPr>
          <w:rFonts w:ascii="宋体" w:eastAsia="宋体" w:hAnsi="宋体" w:cs="宋体" w:hint="eastAsia"/>
          <w:sz w:val="24"/>
          <w:szCs w:val="24"/>
        </w:rPr>
        <w:t>粕</w:t>
      </w:r>
      <w:proofErr w:type="gramEnd"/>
      <w:r w:rsidRPr="00F23328">
        <w:rPr>
          <w:rFonts w:ascii="宋体" w:eastAsia="宋体" w:hAnsi="宋体" w:cs="宋体" w:hint="eastAsia"/>
          <w:sz w:val="24"/>
          <w:szCs w:val="24"/>
        </w:rPr>
        <w:t>库存为93.16万吨，环比-4.26万吨，继续去库，虽然养殖</w:t>
      </w:r>
      <w:proofErr w:type="gramStart"/>
      <w:r w:rsidRPr="00F23328">
        <w:rPr>
          <w:rFonts w:ascii="宋体" w:eastAsia="宋体" w:hAnsi="宋体" w:cs="宋体" w:hint="eastAsia"/>
          <w:sz w:val="24"/>
          <w:szCs w:val="24"/>
        </w:rPr>
        <w:t>端利润</w:t>
      </w:r>
      <w:proofErr w:type="gramEnd"/>
      <w:r w:rsidRPr="00F23328">
        <w:rPr>
          <w:rFonts w:ascii="宋体" w:eastAsia="宋体" w:hAnsi="宋体" w:cs="宋体" w:hint="eastAsia"/>
          <w:sz w:val="24"/>
          <w:szCs w:val="24"/>
        </w:rPr>
        <w:t>有所收窄，但下游购销依然良好，下游饲料企业豆</w:t>
      </w:r>
      <w:proofErr w:type="gramStart"/>
      <w:r w:rsidRPr="00F23328">
        <w:rPr>
          <w:rFonts w:ascii="宋体" w:eastAsia="宋体" w:hAnsi="宋体" w:cs="宋体" w:hint="eastAsia"/>
          <w:sz w:val="24"/>
          <w:szCs w:val="24"/>
        </w:rPr>
        <w:t>粕</w:t>
      </w:r>
      <w:proofErr w:type="gramEnd"/>
      <w:r w:rsidRPr="00F23328">
        <w:rPr>
          <w:rFonts w:ascii="宋体" w:eastAsia="宋体" w:hAnsi="宋体" w:cs="宋体" w:hint="eastAsia"/>
          <w:sz w:val="24"/>
          <w:szCs w:val="24"/>
        </w:rPr>
        <w:t>库存</w:t>
      </w:r>
      <w:proofErr w:type="gramStart"/>
      <w:r w:rsidRPr="00F23328">
        <w:rPr>
          <w:rFonts w:ascii="宋体" w:eastAsia="宋体" w:hAnsi="宋体" w:cs="宋体" w:hint="eastAsia"/>
          <w:sz w:val="24"/>
          <w:szCs w:val="24"/>
        </w:rPr>
        <w:t>天数环</w:t>
      </w:r>
      <w:proofErr w:type="gramEnd"/>
      <w:r w:rsidRPr="00F23328">
        <w:rPr>
          <w:rFonts w:ascii="宋体" w:eastAsia="宋体" w:hAnsi="宋体" w:cs="宋体" w:hint="eastAsia"/>
          <w:sz w:val="24"/>
          <w:szCs w:val="24"/>
        </w:rPr>
        <w:t>比-0.1天。油厂压榨利润整体亏损幅度在100元左右，整体生产经营情况继续向好，</w:t>
      </w:r>
    </w:p>
    <w:p w14:paraId="28BAF84E" w14:textId="77777777" w:rsidR="00F23328" w:rsidRPr="00F23328" w:rsidRDefault="00F23328" w:rsidP="00F23328">
      <w:pPr>
        <w:spacing w:after="120" w:line="360" w:lineRule="auto"/>
        <w:rPr>
          <w:rFonts w:ascii="宋体" w:eastAsia="宋体" w:hAnsi="宋体" w:cs="宋体" w:hint="eastAsia"/>
          <w:sz w:val="24"/>
          <w:szCs w:val="24"/>
        </w:rPr>
      </w:pPr>
      <w:proofErr w:type="gramStart"/>
      <w:r w:rsidRPr="00F23328">
        <w:rPr>
          <w:rFonts w:ascii="宋体" w:eastAsia="宋体" w:hAnsi="宋体" w:cs="宋体" w:hint="eastAsia"/>
          <w:sz w:val="24"/>
          <w:szCs w:val="24"/>
        </w:rPr>
        <w:t>美豆11盘</w:t>
      </w:r>
      <w:proofErr w:type="gramEnd"/>
      <w:r w:rsidRPr="00F23328">
        <w:rPr>
          <w:rFonts w:ascii="宋体" w:eastAsia="宋体" w:hAnsi="宋体" w:cs="宋体" w:hint="eastAsia"/>
          <w:sz w:val="24"/>
          <w:szCs w:val="24"/>
        </w:rPr>
        <w:t>面仍在1390附近的支撑位盘整，短线或有上行表现。 目前天气因素影响仍充满不确定性。</w:t>
      </w:r>
    </w:p>
    <w:p w14:paraId="5F188AD7" w14:textId="238C67F4" w:rsidR="00432438" w:rsidRDefault="00F23328" w:rsidP="00F23328">
      <w:pPr>
        <w:spacing w:after="120" w:line="360" w:lineRule="auto"/>
        <w:rPr>
          <w:rFonts w:ascii="宋体" w:eastAsia="宋体" w:hAnsi="宋体" w:cs="宋体"/>
          <w:sz w:val="24"/>
          <w:szCs w:val="24"/>
        </w:rPr>
      </w:pPr>
      <w:r w:rsidRPr="00F23328">
        <w:rPr>
          <w:rFonts w:ascii="宋体" w:eastAsia="宋体" w:hAnsi="宋体" w:cs="宋体" w:hint="eastAsia"/>
          <w:sz w:val="24"/>
          <w:szCs w:val="24"/>
        </w:rPr>
        <w:t>盘面上，豆</w:t>
      </w:r>
      <w:proofErr w:type="gramStart"/>
      <w:r w:rsidRPr="00F23328">
        <w:rPr>
          <w:rFonts w:ascii="宋体" w:eastAsia="宋体" w:hAnsi="宋体" w:cs="宋体" w:hint="eastAsia"/>
          <w:sz w:val="24"/>
          <w:szCs w:val="24"/>
        </w:rPr>
        <w:t>粕</w:t>
      </w:r>
      <w:proofErr w:type="gramEnd"/>
      <w:r w:rsidRPr="00F23328">
        <w:rPr>
          <w:rFonts w:ascii="宋体" w:eastAsia="宋体" w:hAnsi="宋体" w:cs="宋体" w:hint="eastAsia"/>
          <w:sz w:val="24"/>
          <w:szCs w:val="24"/>
        </w:rPr>
        <w:t>盘整于3920的区间高点附近，在下游需求回暖的情况下，短线豆</w:t>
      </w:r>
      <w:proofErr w:type="gramStart"/>
      <w:r w:rsidRPr="00F23328">
        <w:rPr>
          <w:rFonts w:ascii="宋体" w:eastAsia="宋体" w:hAnsi="宋体" w:cs="宋体" w:hint="eastAsia"/>
          <w:sz w:val="24"/>
          <w:szCs w:val="24"/>
        </w:rPr>
        <w:t>粕</w:t>
      </w:r>
      <w:proofErr w:type="gramEnd"/>
      <w:r w:rsidRPr="00F23328">
        <w:rPr>
          <w:rFonts w:ascii="宋体" w:eastAsia="宋体" w:hAnsi="宋体" w:cs="宋体" w:hint="eastAsia"/>
          <w:sz w:val="24"/>
          <w:szCs w:val="24"/>
        </w:rPr>
        <w:t>仍有一定上行动能。关注</w:t>
      </w:r>
      <w:proofErr w:type="gramStart"/>
      <w:r w:rsidRPr="00F23328">
        <w:rPr>
          <w:rFonts w:ascii="宋体" w:eastAsia="宋体" w:hAnsi="宋体" w:cs="宋体" w:hint="eastAsia"/>
          <w:sz w:val="24"/>
          <w:szCs w:val="24"/>
        </w:rPr>
        <w:t>二次回踩机会</w:t>
      </w:r>
      <w:proofErr w:type="gramEnd"/>
      <w:r w:rsidRPr="00F23328">
        <w:rPr>
          <w:rFonts w:ascii="宋体" w:eastAsia="宋体" w:hAnsi="宋体" w:cs="宋体" w:hint="eastAsia"/>
          <w:sz w:val="24"/>
          <w:szCs w:val="24"/>
        </w:rPr>
        <w:t>，可介入短线多单。</w:t>
      </w:r>
    </w:p>
    <w:p w14:paraId="5C7CB974" w14:textId="77777777" w:rsidR="00F23328" w:rsidRDefault="00F23328" w:rsidP="00F23328">
      <w:pPr>
        <w:spacing w:after="120" w:line="360" w:lineRule="auto"/>
        <w:rPr>
          <w:rFonts w:ascii="宋体" w:eastAsia="宋体" w:hAnsi="宋体" w:cs="宋体" w:hint="eastAsia"/>
          <w:sz w:val="24"/>
          <w:szCs w:val="24"/>
        </w:rPr>
      </w:pPr>
    </w:p>
    <w:p w14:paraId="364A2B07" w14:textId="77777777" w:rsidR="005163F1" w:rsidRDefault="00000000">
      <w:pPr>
        <w:spacing w:after="120" w:line="360" w:lineRule="auto"/>
        <w:rPr>
          <w:rFonts w:ascii="宋体" w:eastAsia="宋体" w:hAnsi="宋体" w:cs="宋体"/>
          <w:b/>
          <w:sz w:val="24"/>
          <w:szCs w:val="24"/>
        </w:rPr>
      </w:pPr>
      <w:r>
        <w:rPr>
          <w:rFonts w:ascii="宋体" w:eastAsia="宋体" w:hAnsi="宋体" w:cs="宋体" w:hint="eastAsia"/>
          <w:b/>
          <w:sz w:val="24"/>
          <w:szCs w:val="24"/>
        </w:rPr>
        <w:t>豆、棕榈油</w:t>
      </w:r>
      <w:r>
        <w:rPr>
          <w:rFonts w:ascii="宋体" w:eastAsia="宋体" w:hAnsi="宋体" w:cs="宋体"/>
          <w:b/>
          <w:sz w:val="24"/>
          <w:szCs w:val="24"/>
        </w:rPr>
        <w:t>：</w:t>
      </w:r>
    </w:p>
    <w:p w14:paraId="33659317" w14:textId="77777777" w:rsidR="008228C2" w:rsidRDefault="006804CF" w:rsidP="00C839EE">
      <w:pPr>
        <w:spacing w:after="120" w:line="360" w:lineRule="auto"/>
        <w:rPr>
          <w:rFonts w:ascii="宋体" w:eastAsia="宋体" w:hAnsi="宋体" w:cs="宋体"/>
          <w:sz w:val="24"/>
          <w:szCs w:val="24"/>
        </w:rPr>
      </w:pPr>
      <w:r w:rsidRPr="006804CF">
        <w:rPr>
          <w:rFonts w:ascii="宋体" w:eastAsia="宋体" w:hAnsi="宋体" w:cs="宋体"/>
          <w:sz w:val="24"/>
          <w:szCs w:val="24"/>
        </w:rPr>
        <w:t>棕榈油方面，截至8月3日，广东24度棕榈油现货价9970元/吨，较上个交易日+80元/吨。截至7月29日当周，全国重点地区棕榈油商业库存为22.99万吨，环比上周-4.2万吨。棕榈油主力P2209合约收盘报8096元/吨，跌幅2.01%，持仓-14296手。豆油方面，截至8月3日，主流豆油报价10580元/吨，较上个交易日+180元/吨。截至7月29日当周，豆油主要油厂库存为88.99万吨，较上周环比去库0.13万吨，去</w:t>
      </w:r>
      <w:proofErr w:type="gramStart"/>
      <w:r w:rsidRPr="006804CF">
        <w:rPr>
          <w:rFonts w:ascii="宋体" w:eastAsia="宋体" w:hAnsi="宋体" w:cs="宋体"/>
          <w:sz w:val="24"/>
          <w:szCs w:val="24"/>
        </w:rPr>
        <w:t>库进程</w:t>
      </w:r>
      <w:proofErr w:type="gramEnd"/>
      <w:r w:rsidRPr="006804CF">
        <w:rPr>
          <w:rFonts w:ascii="宋体" w:eastAsia="宋体" w:hAnsi="宋体" w:cs="宋体"/>
          <w:sz w:val="24"/>
          <w:szCs w:val="24"/>
        </w:rPr>
        <w:t>放缓。豆油主力Y2209合约收盘报10010元/吨，涨幅1.56%，持仓-4669手。</w:t>
      </w:r>
    </w:p>
    <w:p w14:paraId="3C3BB770" w14:textId="44E8D5F9" w:rsidR="008228C2" w:rsidRDefault="006804CF" w:rsidP="00C839EE">
      <w:pPr>
        <w:spacing w:after="120" w:line="360" w:lineRule="auto"/>
        <w:rPr>
          <w:rFonts w:ascii="宋体" w:eastAsia="宋体" w:hAnsi="宋体" w:cs="宋体"/>
          <w:sz w:val="24"/>
          <w:szCs w:val="24"/>
        </w:rPr>
      </w:pPr>
      <w:r w:rsidRPr="006804CF">
        <w:rPr>
          <w:rFonts w:ascii="宋体" w:eastAsia="宋体" w:hAnsi="宋体" w:cs="宋体"/>
          <w:sz w:val="24"/>
          <w:szCs w:val="24"/>
        </w:rPr>
        <w:t>油厂方面，上周油厂开工率为60.59%，环比+2.29%，随着豆油价格一路飞涨，豆油的成交下降，去库幅度明显放缓，库存微降，但整体库存水平处于五年同期低位，库存压力并不大。</w:t>
      </w:r>
    </w:p>
    <w:p w14:paraId="62A0E92C" w14:textId="77777777" w:rsidR="008228C2" w:rsidRDefault="006804CF" w:rsidP="00C839EE">
      <w:pPr>
        <w:spacing w:after="120" w:line="360" w:lineRule="auto"/>
        <w:rPr>
          <w:rFonts w:ascii="宋体" w:eastAsia="宋体" w:hAnsi="宋体" w:cs="宋体"/>
          <w:sz w:val="24"/>
          <w:szCs w:val="24"/>
        </w:rPr>
      </w:pPr>
      <w:r w:rsidRPr="006804CF">
        <w:rPr>
          <w:rFonts w:ascii="宋体" w:eastAsia="宋体" w:hAnsi="宋体" w:cs="宋体"/>
          <w:sz w:val="24"/>
          <w:szCs w:val="24"/>
        </w:rPr>
        <w:t>路透大宗商品分析报告认为，由于印尼胀库问题严重，棕榈油</w:t>
      </w:r>
      <w:proofErr w:type="gramStart"/>
      <w:r w:rsidRPr="006804CF">
        <w:rPr>
          <w:rFonts w:ascii="宋体" w:eastAsia="宋体" w:hAnsi="宋体" w:cs="宋体"/>
          <w:sz w:val="24"/>
          <w:szCs w:val="24"/>
        </w:rPr>
        <w:t>压榨厂</w:t>
      </w:r>
      <w:proofErr w:type="gramEnd"/>
      <w:r w:rsidRPr="006804CF">
        <w:rPr>
          <w:rFonts w:ascii="宋体" w:eastAsia="宋体" w:hAnsi="宋体" w:cs="宋体"/>
          <w:sz w:val="24"/>
          <w:szCs w:val="24"/>
        </w:rPr>
        <w:t>油罐满载，难以进行压榨生产。随着库存释放，棕榈油价格大幅走低，过低的棕榈</w:t>
      </w:r>
      <w:proofErr w:type="gramStart"/>
      <w:r w:rsidRPr="006804CF">
        <w:rPr>
          <w:rFonts w:ascii="宋体" w:eastAsia="宋体" w:hAnsi="宋体" w:cs="宋体"/>
          <w:sz w:val="24"/>
          <w:szCs w:val="24"/>
        </w:rPr>
        <w:t>果收购</w:t>
      </w:r>
      <w:proofErr w:type="gramEnd"/>
      <w:r w:rsidRPr="006804CF">
        <w:rPr>
          <w:rFonts w:ascii="宋体" w:eastAsia="宋体" w:hAnsi="宋体" w:cs="宋体"/>
          <w:sz w:val="24"/>
          <w:szCs w:val="24"/>
        </w:rPr>
        <w:t>价</w:t>
      </w:r>
      <w:r w:rsidRPr="006804CF">
        <w:rPr>
          <w:rFonts w:ascii="宋体" w:eastAsia="宋体" w:hAnsi="宋体" w:cs="宋体"/>
          <w:sz w:val="24"/>
          <w:szCs w:val="24"/>
        </w:rPr>
        <w:lastRenderedPageBreak/>
        <w:t>格，使一些农民也停止了收获，进而酸败。预计印尼2021/22年度棕榈油产量预计降至4670万吨，较上次预期的减少3%。</w:t>
      </w:r>
    </w:p>
    <w:p w14:paraId="20D572BC" w14:textId="77777777" w:rsidR="008228C2" w:rsidRDefault="006804CF" w:rsidP="00C839EE">
      <w:pPr>
        <w:spacing w:after="120" w:line="360" w:lineRule="auto"/>
        <w:rPr>
          <w:rFonts w:ascii="宋体" w:eastAsia="宋体" w:hAnsi="宋体" w:cs="宋体"/>
          <w:sz w:val="24"/>
          <w:szCs w:val="24"/>
        </w:rPr>
      </w:pPr>
      <w:r w:rsidRPr="006804CF">
        <w:rPr>
          <w:rFonts w:ascii="宋体" w:eastAsia="宋体" w:hAnsi="宋体" w:cs="宋体"/>
          <w:sz w:val="24"/>
          <w:szCs w:val="24"/>
        </w:rPr>
        <w:t>国内棕榈油8月船期商业采购量30万吨以上，目前中国、欧盟的油脂需求大国棕榈油进口量明显偏低，植物油库存也处于偏低水平，在消费支撑下，补库的需求预期较强，低价的印尼棕榈油是较好的选择之一，印尼的出口量趋于正常话，出口规模仍在放大，油脂在当下阶段性盘整阶段下，仍受到技术上抛压，但当下跌至目前区间低点附近后未形成有效突破前，不再宜过分看空。</w:t>
      </w:r>
    </w:p>
    <w:p w14:paraId="0F0222EA" w14:textId="67DCE8A2" w:rsidR="00C839EE" w:rsidRDefault="006804CF" w:rsidP="00C839EE">
      <w:pPr>
        <w:spacing w:after="120" w:line="360" w:lineRule="auto"/>
        <w:rPr>
          <w:rFonts w:ascii="宋体" w:eastAsia="宋体" w:hAnsi="宋体" w:cs="宋体"/>
          <w:sz w:val="24"/>
          <w:szCs w:val="24"/>
        </w:rPr>
      </w:pPr>
      <w:r w:rsidRPr="006804CF">
        <w:rPr>
          <w:rFonts w:ascii="宋体" w:eastAsia="宋体" w:hAnsi="宋体" w:cs="宋体"/>
          <w:sz w:val="24"/>
          <w:szCs w:val="24"/>
        </w:rPr>
        <w:t>从盘面上看，棕榈油、豆油表现分化，豆油呈现反弹，棕榈油弱势整理，短期内弱势仍将延续。目前主方向</w:t>
      </w:r>
      <w:proofErr w:type="gramStart"/>
      <w:r w:rsidRPr="006804CF">
        <w:rPr>
          <w:rFonts w:ascii="宋体" w:eastAsia="宋体" w:hAnsi="宋体" w:cs="宋体"/>
          <w:sz w:val="24"/>
          <w:szCs w:val="24"/>
        </w:rPr>
        <w:t>仍在空势下</w:t>
      </w:r>
      <w:proofErr w:type="gramEnd"/>
      <w:r w:rsidRPr="006804CF">
        <w:rPr>
          <w:rFonts w:ascii="宋体" w:eastAsia="宋体" w:hAnsi="宋体" w:cs="宋体"/>
          <w:sz w:val="24"/>
          <w:szCs w:val="24"/>
        </w:rPr>
        <w:t>，关注区间高点8450附近的压制，上行无力可考虑逢高布空。</w:t>
      </w:r>
      <w:proofErr w:type="gramStart"/>
      <w:r w:rsidRPr="006804CF">
        <w:rPr>
          <w:rFonts w:ascii="宋体" w:eastAsia="宋体" w:hAnsi="宋体" w:cs="宋体"/>
          <w:sz w:val="24"/>
          <w:szCs w:val="24"/>
        </w:rPr>
        <w:t>豆</w:t>
      </w:r>
      <w:proofErr w:type="gramEnd"/>
      <w:r w:rsidRPr="006804CF">
        <w:rPr>
          <w:rFonts w:ascii="宋体" w:eastAsia="宋体" w:hAnsi="宋体" w:cs="宋体"/>
          <w:sz w:val="24"/>
          <w:szCs w:val="24"/>
        </w:rPr>
        <w:t>油盘中</w:t>
      </w:r>
      <w:proofErr w:type="gramStart"/>
      <w:r w:rsidRPr="006804CF">
        <w:rPr>
          <w:rFonts w:ascii="宋体" w:eastAsia="宋体" w:hAnsi="宋体" w:cs="宋体"/>
          <w:sz w:val="24"/>
          <w:szCs w:val="24"/>
        </w:rPr>
        <w:t>回踩后</w:t>
      </w:r>
      <w:proofErr w:type="gramEnd"/>
      <w:r w:rsidRPr="006804CF">
        <w:rPr>
          <w:rFonts w:ascii="宋体" w:eastAsia="宋体" w:hAnsi="宋体" w:cs="宋体"/>
          <w:sz w:val="24"/>
          <w:szCs w:val="24"/>
        </w:rPr>
        <w:t>，小幅上行，当下位置处于日线技术性压力位附近，反弹有进入尾声的风险，短线多</w:t>
      </w:r>
      <w:proofErr w:type="gramStart"/>
      <w:r w:rsidRPr="006804CF">
        <w:rPr>
          <w:rFonts w:ascii="宋体" w:eastAsia="宋体" w:hAnsi="宋体" w:cs="宋体"/>
          <w:sz w:val="24"/>
          <w:szCs w:val="24"/>
        </w:rPr>
        <w:t>单建议</w:t>
      </w:r>
      <w:proofErr w:type="gramEnd"/>
      <w:r w:rsidRPr="006804CF">
        <w:rPr>
          <w:rFonts w:ascii="宋体" w:eastAsia="宋体" w:hAnsi="宋体" w:cs="宋体"/>
          <w:sz w:val="24"/>
          <w:szCs w:val="24"/>
        </w:rPr>
        <w:t>逢高及时出货止盈，观望为主，，当下位置多空存在矛盾，预计后市将围绕9500-9900这一范围震荡以选择最终方向，短期关注高位的方向信号，以选择交易方向，可逢高轻</w:t>
      </w:r>
      <w:proofErr w:type="gramStart"/>
      <w:r w:rsidRPr="006804CF">
        <w:rPr>
          <w:rFonts w:ascii="宋体" w:eastAsia="宋体" w:hAnsi="宋体" w:cs="宋体"/>
          <w:sz w:val="24"/>
          <w:szCs w:val="24"/>
        </w:rPr>
        <w:t>仓试空</w:t>
      </w:r>
      <w:proofErr w:type="gramEnd"/>
      <w:r w:rsidRPr="006804CF">
        <w:rPr>
          <w:rFonts w:ascii="宋体" w:eastAsia="宋体" w:hAnsi="宋体" w:cs="宋体"/>
          <w:sz w:val="24"/>
          <w:szCs w:val="24"/>
        </w:rPr>
        <w:t>。</w:t>
      </w:r>
    </w:p>
    <w:p w14:paraId="3C25DFF0" w14:textId="77777777" w:rsidR="006804CF" w:rsidRDefault="006804CF" w:rsidP="00C839EE">
      <w:pPr>
        <w:spacing w:after="120" w:line="360" w:lineRule="auto"/>
        <w:rPr>
          <w:rFonts w:ascii="宋体" w:eastAsia="宋体" w:hAnsi="宋体" w:cs="宋体" w:hint="eastAsia"/>
          <w:sz w:val="24"/>
          <w:szCs w:val="24"/>
        </w:rPr>
      </w:pPr>
    </w:p>
    <w:p w14:paraId="0501A7E6" w14:textId="077ED111" w:rsidR="00CF641B" w:rsidRPr="00CF641B" w:rsidRDefault="00000000" w:rsidP="00CF641B">
      <w:pPr>
        <w:spacing w:after="120" w:line="360" w:lineRule="auto"/>
        <w:rPr>
          <w:rFonts w:ascii="宋体" w:eastAsia="宋体" w:hAnsi="宋体" w:cs="宋体" w:hint="eastAsia"/>
          <w:sz w:val="24"/>
          <w:szCs w:val="24"/>
        </w:rPr>
      </w:pPr>
      <w:r>
        <w:rPr>
          <w:rFonts w:ascii="宋体" w:eastAsia="宋体" w:hAnsi="宋体" w:cs="宋体" w:hint="eastAsia"/>
          <w:b/>
          <w:sz w:val="24"/>
          <w:szCs w:val="24"/>
        </w:rPr>
        <w:t>螺纹钢</w:t>
      </w:r>
      <w:r>
        <w:rPr>
          <w:rFonts w:ascii="宋体" w:eastAsia="宋体" w:hAnsi="宋体" w:cs="宋体" w:hint="eastAsia"/>
          <w:sz w:val="24"/>
          <w:szCs w:val="24"/>
        </w:rPr>
        <w:t>：</w:t>
      </w:r>
      <w:r w:rsidR="00CF641B" w:rsidRPr="00CF641B">
        <w:rPr>
          <w:rFonts w:ascii="宋体" w:eastAsia="宋体" w:hAnsi="宋体" w:cs="宋体" w:hint="eastAsia"/>
          <w:sz w:val="24"/>
          <w:szCs w:val="24"/>
        </w:rPr>
        <w:t>短期钢价上方压力仍存</w:t>
      </w:r>
    </w:p>
    <w:p w14:paraId="2B92C77F" w14:textId="77777777" w:rsidR="00CF641B" w:rsidRP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今日螺纹钢期货主力2210微跌。</w:t>
      </w:r>
      <w:proofErr w:type="gramStart"/>
      <w:r w:rsidRPr="00CF641B">
        <w:rPr>
          <w:rFonts w:ascii="宋体" w:eastAsia="宋体" w:hAnsi="宋体" w:cs="宋体" w:hint="eastAsia"/>
          <w:sz w:val="24"/>
          <w:szCs w:val="24"/>
        </w:rPr>
        <w:t>夜盘低开后</w:t>
      </w:r>
      <w:proofErr w:type="gramEnd"/>
      <w:r w:rsidRPr="00CF641B">
        <w:rPr>
          <w:rFonts w:ascii="宋体" w:eastAsia="宋体" w:hAnsi="宋体" w:cs="宋体" w:hint="eastAsia"/>
          <w:sz w:val="24"/>
          <w:szCs w:val="24"/>
        </w:rPr>
        <w:t>，震荡偏弱运行，日内冲高回落，午后走势疲软，尾盘微跌。收盘价为4063元/吨，跌-1元/吨，跌幅-0.02%，成交量为235万手，持仓量为183万手，-21965手。持仓方面，今日螺纹钢2210合约前二十名多头持仓为1083850，-20831；前二十名空头持仓为1170467，-20445，多减空减。</w:t>
      </w:r>
    </w:p>
    <w:p w14:paraId="245BFAAE" w14:textId="379F4EA5" w:rsidR="00CF641B" w:rsidRDefault="00CF641B" w:rsidP="00CF641B">
      <w:pPr>
        <w:spacing w:after="120" w:line="360" w:lineRule="auto"/>
        <w:rPr>
          <w:rFonts w:ascii="宋体" w:eastAsia="宋体" w:hAnsi="宋体" w:cs="宋体" w:hint="eastAsia"/>
          <w:sz w:val="24"/>
          <w:szCs w:val="24"/>
        </w:rPr>
      </w:pPr>
      <w:r w:rsidRPr="00CF641B">
        <w:rPr>
          <w:rFonts w:ascii="宋体" w:eastAsia="宋体" w:hAnsi="宋体" w:cs="宋体" w:hint="eastAsia"/>
          <w:sz w:val="24"/>
          <w:szCs w:val="24"/>
        </w:rPr>
        <w:t>今日国内各地螺纹钢现货价格维稳，上海中天螺纹钢现货价格为4160元/吨，较昨日上涨+10元，全国建材成交量表现尚可。</w:t>
      </w:r>
      <w:proofErr w:type="gramStart"/>
      <w:r w:rsidRPr="00CF641B">
        <w:rPr>
          <w:rFonts w:ascii="宋体" w:eastAsia="宋体" w:hAnsi="宋体" w:cs="宋体" w:hint="eastAsia"/>
          <w:sz w:val="24"/>
          <w:szCs w:val="24"/>
        </w:rPr>
        <w:t>基差方面</w:t>
      </w:r>
      <w:proofErr w:type="gramEnd"/>
      <w:r w:rsidRPr="00CF641B">
        <w:rPr>
          <w:rFonts w:ascii="宋体" w:eastAsia="宋体" w:hAnsi="宋体" w:cs="宋体" w:hint="eastAsia"/>
          <w:sz w:val="24"/>
          <w:szCs w:val="24"/>
        </w:rPr>
        <w:t>，上海地区</w:t>
      </w:r>
      <w:proofErr w:type="gramStart"/>
      <w:r w:rsidRPr="00CF641B">
        <w:rPr>
          <w:rFonts w:ascii="宋体" w:eastAsia="宋体" w:hAnsi="宋体" w:cs="宋体" w:hint="eastAsia"/>
          <w:sz w:val="24"/>
          <w:szCs w:val="24"/>
        </w:rPr>
        <w:t>螺纹钢基差为</w:t>
      </w:r>
      <w:proofErr w:type="gramEnd"/>
      <w:r w:rsidRPr="00CF641B">
        <w:rPr>
          <w:rFonts w:ascii="宋体" w:eastAsia="宋体" w:hAnsi="宋体" w:cs="宋体" w:hint="eastAsia"/>
          <w:sz w:val="24"/>
          <w:szCs w:val="24"/>
        </w:rPr>
        <w:t>+97，</w:t>
      </w:r>
      <w:proofErr w:type="gramStart"/>
      <w:r w:rsidRPr="00CF641B">
        <w:rPr>
          <w:rFonts w:ascii="宋体" w:eastAsia="宋体" w:hAnsi="宋体" w:cs="宋体" w:hint="eastAsia"/>
          <w:sz w:val="24"/>
          <w:szCs w:val="24"/>
        </w:rPr>
        <w:t>基差走</w:t>
      </w:r>
      <w:proofErr w:type="gramEnd"/>
      <w:r w:rsidRPr="00CF641B">
        <w:rPr>
          <w:rFonts w:ascii="宋体" w:eastAsia="宋体" w:hAnsi="宋体" w:cs="宋体" w:hint="eastAsia"/>
          <w:sz w:val="24"/>
          <w:szCs w:val="24"/>
        </w:rPr>
        <w:t>强，盘面贴水现货。国内市场方面，前期因钢厂大面积亏损引发钢厂集中检修，产量低位运行，近期吨钢利润有所修复后，下游成交好转，钢厂现金流回笼，近期复产钢厂较多，预计本周螺纹钢产量出现回升。需求方面，基建支撑三季度钢材需求，近期钢材终端补库，</w:t>
      </w:r>
      <w:proofErr w:type="gramStart"/>
      <w:r w:rsidRPr="00CF641B">
        <w:rPr>
          <w:rFonts w:ascii="宋体" w:eastAsia="宋体" w:hAnsi="宋体" w:cs="宋体" w:hint="eastAsia"/>
          <w:sz w:val="24"/>
          <w:szCs w:val="24"/>
        </w:rPr>
        <w:t>需求环</w:t>
      </w:r>
      <w:proofErr w:type="gramEnd"/>
      <w:r w:rsidRPr="00CF641B">
        <w:rPr>
          <w:rFonts w:ascii="宋体" w:eastAsia="宋体" w:hAnsi="宋体" w:cs="宋体" w:hint="eastAsia"/>
          <w:sz w:val="24"/>
          <w:szCs w:val="24"/>
        </w:rPr>
        <w:t>比好转，但是地产对钢材需求的</w:t>
      </w:r>
      <w:proofErr w:type="gramStart"/>
      <w:r w:rsidRPr="00CF641B">
        <w:rPr>
          <w:rFonts w:ascii="宋体" w:eastAsia="宋体" w:hAnsi="宋体" w:cs="宋体" w:hint="eastAsia"/>
          <w:sz w:val="24"/>
          <w:szCs w:val="24"/>
        </w:rPr>
        <w:t>拖累仍</w:t>
      </w:r>
      <w:proofErr w:type="gramEnd"/>
      <w:r w:rsidRPr="00CF641B">
        <w:rPr>
          <w:rFonts w:ascii="宋体" w:eastAsia="宋体" w:hAnsi="宋体" w:cs="宋体" w:hint="eastAsia"/>
          <w:sz w:val="24"/>
          <w:szCs w:val="24"/>
        </w:rPr>
        <w:t>存。库存方面，产量处于极低水平，需求表现一般，导致库存逆季节大</w:t>
      </w:r>
      <w:r w:rsidRPr="00CF641B">
        <w:rPr>
          <w:rFonts w:ascii="宋体" w:eastAsia="宋体" w:hAnsi="宋体" w:cs="宋体" w:hint="eastAsia"/>
          <w:sz w:val="24"/>
          <w:szCs w:val="24"/>
        </w:rPr>
        <w:lastRenderedPageBreak/>
        <w:t>幅去库，目前库存压力已经不大，预计短期螺纹钢震荡偏强运行，关注RB2210上方4100-4200的压力。</w:t>
      </w:r>
    </w:p>
    <w:p w14:paraId="34DD38ED" w14:textId="77777777" w:rsidR="00CF641B" w:rsidRDefault="00CF641B" w:rsidP="00CF641B">
      <w:pPr>
        <w:spacing w:after="120" w:line="360" w:lineRule="auto"/>
        <w:rPr>
          <w:rFonts w:ascii="宋体" w:eastAsia="宋体" w:hAnsi="宋体" w:cs="宋体" w:hint="eastAsia"/>
          <w:sz w:val="24"/>
          <w:szCs w:val="24"/>
        </w:rPr>
      </w:pPr>
    </w:p>
    <w:p w14:paraId="382C4D13" w14:textId="77777777" w:rsidR="005163F1" w:rsidRDefault="00000000">
      <w:pPr>
        <w:spacing w:line="360" w:lineRule="auto"/>
        <w:rPr>
          <w:rFonts w:ascii="宋体" w:eastAsia="宋体" w:hAnsi="宋体" w:cs="宋体"/>
          <w:sz w:val="24"/>
          <w:szCs w:val="24"/>
        </w:rPr>
      </w:pPr>
      <w:r>
        <w:rPr>
          <w:rFonts w:ascii="宋体" w:eastAsia="宋体" w:hAnsi="宋体" w:cs="宋体" w:hint="eastAsia"/>
          <w:b/>
          <w:sz w:val="24"/>
          <w:szCs w:val="24"/>
        </w:rPr>
        <w:t>动力煤</w:t>
      </w:r>
      <w:r>
        <w:rPr>
          <w:rFonts w:ascii="宋体" w:eastAsia="宋体" w:hAnsi="宋体" w:cs="宋体"/>
          <w:b/>
          <w:sz w:val="24"/>
          <w:szCs w:val="24"/>
        </w:rPr>
        <w:t>：</w:t>
      </w:r>
      <w:r>
        <w:rPr>
          <w:rFonts w:ascii="宋体" w:eastAsia="宋体" w:hAnsi="宋体" w:cs="宋体"/>
          <w:sz w:val="24"/>
          <w:szCs w:val="24"/>
        </w:rPr>
        <w:t xml:space="preserve"> </w:t>
      </w:r>
    </w:p>
    <w:p w14:paraId="031355EE" w14:textId="21B32BDD" w:rsidR="005163F1" w:rsidRDefault="00432438" w:rsidP="00432438">
      <w:pPr>
        <w:spacing w:line="360" w:lineRule="auto"/>
        <w:rPr>
          <w:rFonts w:ascii="宋体" w:eastAsia="宋体" w:hAnsi="宋体" w:cs="宋体"/>
          <w:sz w:val="24"/>
          <w:szCs w:val="24"/>
        </w:rPr>
      </w:pPr>
      <w:r w:rsidRPr="00432438">
        <w:rPr>
          <w:rFonts w:ascii="宋体" w:eastAsia="宋体" w:hAnsi="宋体" w:cs="宋体" w:hint="eastAsia"/>
          <w:sz w:val="24"/>
          <w:szCs w:val="24"/>
        </w:rPr>
        <w:t>动力煤2209小幅上涨，收盘价为856元/吨，涨+4元/吨，涨幅+0.47%，成交量13手，持仓量73手，降-13手。动力煤盘面来看，资金持续流出，且当前动力煤主力持仓和成交下滑，流动性风险较大。产业方面，动力煤发运成本的下行叠加贸易商出货意愿强烈，造成港口报价出现松动。从需求端来看，受到高温天气的持续影响，电厂日耗延续环比上涨态势，且创今年新高，但考虑到非电企业整体需求仍然羸弱，对高价</w:t>
      </w:r>
      <w:proofErr w:type="gramStart"/>
      <w:r w:rsidRPr="00432438">
        <w:rPr>
          <w:rFonts w:ascii="宋体" w:eastAsia="宋体" w:hAnsi="宋体" w:cs="宋体" w:hint="eastAsia"/>
          <w:sz w:val="24"/>
          <w:szCs w:val="24"/>
        </w:rPr>
        <w:t>煤实际</w:t>
      </w:r>
      <w:proofErr w:type="gramEnd"/>
      <w:r w:rsidRPr="00432438">
        <w:rPr>
          <w:rFonts w:ascii="宋体" w:eastAsia="宋体" w:hAnsi="宋体" w:cs="宋体" w:hint="eastAsia"/>
          <w:sz w:val="24"/>
          <w:szCs w:val="24"/>
        </w:rPr>
        <w:t>需求有限，后续支撑煤价的动力仍有待观望，整体上涨幅度有限。总体而言，动力煤需求随着用电高峰的到来出现明显回暖表现，但考虑到价格上限受政策约束仍然存在，预计短期仍以区间震荡为主。</w:t>
      </w:r>
    </w:p>
    <w:p w14:paraId="71A692A0" w14:textId="77777777" w:rsidR="00432438" w:rsidRDefault="00432438" w:rsidP="00432438">
      <w:pPr>
        <w:spacing w:line="360" w:lineRule="auto"/>
        <w:rPr>
          <w:rFonts w:ascii="宋体" w:eastAsia="宋体" w:hAnsi="宋体" w:cs="宋体"/>
          <w:sz w:val="24"/>
          <w:szCs w:val="24"/>
        </w:rPr>
      </w:pPr>
    </w:p>
    <w:p w14:paraId="17D43473" w14:textId="77777777" w:rsidR="005163F1" w:rsidRDefault="00000000">
      <w:pPr>
        <w:spacing w:line="360" w:lineRule="auto"/>
        <w:rPr>
          <w:rFonts w:ascii="宋体" w:eastAsia="宋体" w:hAnsi="宋体" w:cs="宋体"/>
          <w:b/>
          <w:sz w:val="24"/>
          <w:szCs w:val="24"/>
        </w:rPr>
      </w:pPr>
      <w:r>
        <w:rPr>
          <w:rFonts w:ascii="宋体" w:eastAsia="宋体" w:hAnsi="宋体" w:cs="宋体" w:hint="eastAsia"/>
          <w:b/>
          <w:sz w:val="24"/>
          <w:szCs w:val="24"/>
        </w:rPr>
        <w:t>焦煤焦炭：</w:t>
      </w:r>
    </w:p>
    <w:p w14:paraId="16B553C2" w14:textId="710ADB34" w:rsidR="008228C2" w:rsidRPr="008228C2" w:rsidRDefault="008228C2" w:rsidP="008228C2">
      <w:pPr>
        <w:spacing w:line="360" w:lineRule="auto"/>
        <w:rPr>
          <w:rFonts w:ascii="宋体" w:eastAsia="宋体" w:hAnsi="宋体" w:cs="宋体"/>
          <w:sz w:val="24"/>
          <w:szCs w:val="24"/>
        </w:rPr>
      </w:pPr>
      <w:r w:rsidRPr="008228C2">
        <w:rPr>
          <w:rFonts w:ascii="宋体" w:eastAsia="宋体" w:hAnsi="宋体" w:cs="宋体" w:hint="eastAsia"/>
          <w:sz w:val="24"/>
          <w:szCs w:val="24"/>
        </w:rPr>
        <w:t>双焦上涨，焦煤和焦炭日内分别上涨+0.82%和+1.55%。</w:t>
      </w:r>
    </w:p>
    <w:p w14:paraId="2EADC23B" w14:textId="5B011983" w:rsidR="008228C2" w:rsidRPr="008228C2" w:rsidRDefault="008228C2" w:rsidP="008228C2">
      <w:pPr>
        <w:spacing w:line="360" w:lineRule="auto"/>
        <w:rPr>
          <w:rFonts w:ascii="宋体" w:eastAsia="宋体" w:hAnsi="宋体" w:cs="宋体" w:hint="eastAsia"/>
          <w:sz w:val="24"/>
          <w:szCs w:val="24"/>
        </w:rPr>
      </w:pPr>
      <w:r w:rsidRPr="008228C2">
        <w:rPr>
          <w:rFonts w:ascii="宋体" w:eastAsia="宋体" w:hAnsi="宋体" w:cs="宋体" w:hint="eastAsia"/>
          <w:sz w:val="24"/>
          <w:szCs w:val="24"/>
        </w:rPr>
        <w:t>焦煤：随着美联储预期内的加息落地，宏观利空暂退，悲观情绪改善，焦煤价格走势偏强运行。基本面来看，国内炼焦煤供给稳定，进口方面，</w:t>
      </w:r>
      <w:proofErr w:type="gramStart"/>
      <w:r w:rsidRPr="008228C2">
        <w:rPr>
          <w:rFonts w:ascii="宋体" w:eastAsia="宋体" w:hAnsi="宋体" w:cs="宋体" w:hint="eastAsia"/>
          <w:sz w:val="24"/>
          <w:szCs w:val="24"/>
        </w:rPr>
        <w:t>蒙煤通关</w:t>
      </w:r>
      <w:proofErr w:type="gramEnd"/>
      <w:r w:rsidRPr="008228C2">
        <w:rPr>
          <w:rFonts w:ascii="宋体" w:eastAsia="宋体" w:hAnsi="宋体" w:cs="宋体" w:hint="eastAsia"/>
          <w:sz w:val="24"/>
          <w:szCs w:val="24"/>
        </w:rPr>
        <w:t>维持在高位，日均</w:t>
      </w:r>
      <w:proofErr w:type="gramStart"/>
      <w:r w:rsidRPr="008228C2">
        <w:rPr>
          <w:rFonts w:ascii="宋体" w:eastAsia="宋体" w:hAnsi="宋体" w:cs="宋体" w:hint="eastAsia"/>
          <w:sz w:val="24"/>
          <w:szCs w:val="24"/>
        </w:rPr>
        <w:t>通关超</w:t>
      </w:r>
      <w:proofErr w:type="gramEnd"/>
      <w:r w:rsidRPr="008228C2">
        <w:rPr>
          <w:rFonts w:ascii="宋体" w:eastAsia="宋体" w:hAnsi="宋体" w:cs="宋体" w:hint="eastAsia"/>
          <w:sz w:val="24"/>
          <w:szCs w:val="24"/>
        </w:rPr>
        <w:t>900车。需求端，焦化厂亏损较大，焦化厂主动限产，叠加煤矿焦煤高库存压力，焦煤需求明显回落；库存方面，炼焦煤库存继续下降，警惕下游终端旺季来临时，焦煤供需错配造成的上涨。预计短期炼焦煤震荡偏强运行，上涨空间受制</w:t>
      </w:r>
      <w:proofErr w:type="gramStart"/>
      <w:r w:rsidRPr="008228C2">
        <w:rPr>
          <w:rFonts w:ascii="宋体" w:eastAsia="宋体" w:hAnsi="宋体" w:cs="宋体" w:hint="eastAsia"/>
          <w:sz w:val="24"/>
          <w:szCs w:val="24"/>
        </w:rPr>
        <w:t>于焦钢利润</w:t>
      </w:r>
      <w:proofErr w:type="gramEnd"/>
      <w:r w:rsidRPr="008228C2">
        <w:rPr>
          <w:rFonts w:ascii="宋体" w:eastAsia="宋体" w:hAnsi="宋体" w:cs="宋体" w:hint="eastAsia"/>
          <w:sz w:val="24"/>
          <w:szCs w:val="24"/>
        </w:rPr>
        <w:t>。</w:t>
      </w:r>
    </w:p>
    <w:p w14:paraId="5C75AA3D" w14:textId="543CACC0" w:rsidR="00432438" w:rsidRDefault="008228C2" w:rsidP="008228C2">
      <w:pPr>
        <w:spacing w:line="360" w:lineRule="auto"/>
        <w:rPr>
          <w:rFonts w:ascii="宋体" w:eastAsia="宋体" w:hAnsi="宋体" w:cs="宋体"/>
          <w:sz w:val="24"/>
          <w:szCs w:val="24"/>
        </w:rPr>
      </w:pPr>
      <w:r w:rsidRPr="008228C2">
        <w:rPr>
          <w:rFonts w:ascii="宋体" w:eastAsia="宋体" w:hAnsi="宋体" w:cs="宋体" w:hint="eastAsia"/>
          <w:sz w:val="24"/>
          <w:szCs w:val="24"/>
        </w:rPr>
        <w:t>焦炭：产业方面：焦炭开启第一轮提涨，涨200元/吨。需求端，钢厂检修增多，铁水产量下降，焦炭需求回落。供给方面，国内各地焦化厂亏损，全国平均吨焦利润为-282元/吨，</w:t>
      </w:r>
      <w:proofErr w:type="gramStart"/>
      <w:r w:rsidRPr="008228C2">
        <w:rPr>
          <w:rFonts w:ascii="宋体" w:eastAsia="宋体" w:hAnsi="宋体" w:cs="宋体" w:hint="eastAsia"/>
          <w:sz w:val="24"/>
          <w:szCs w:val="24"/>
        </w:rPr>
        <w:t>焦化厂提产动力</w:t>
      </w:r>
      <w:proofErr w:type="gramEnd"/>
      <w:r w:rsidRPr="008228C2">
        <w:rPr>
          <w:rFonts w:ascii="宋体" w:eastAsia="宋体" w:hAnsi="宋体" w:cs="宋体" w:hint="eastAsia"/>
          <w:sz w:val="24"/>
          <w:szCs w:val="24"/>
        </w:rPr>
        <w:t>不足，产量下行。总的来说，目前焦炭</w:t>
      </w:r>
      <w:proofErr w:type="gramStart"/>
      <w:r w:rsidRPr="008228C2">
        <w:rPr>
          <w:rFonts w:ascii="宋体" w:eastAsia="宋体" w:hAnsi="宋体" w:cs="宋体" w:hint="eastAsia"/>
          <w:sz w:val="24"/>
          <w:szCs w:val="24"/>
        </w:rPr>
        <w:t>供需双弱</w:t>
      </w:r>
      <w:proofErr w:type="gramEnd"/>
      <w:r w:rsidRPr="008228C2">
        <w:rPr>
          <w:rFonts w:ascii="宋体" w:eastAsia="宋体" w:hAnsi="宋体" w:cs="宋体" w:hint="eastAsia"/>
          <w:sz w:val="24"/>
          <w:szCs w:val="24"/>
        </w:rPr>
        <w:t>，焦化厂大面积亏损下，价格继续下跌空间有限，此外，焦炭总库存仍处于</w:t>
      </w:r>
      <w:r w:rsidRPr="008228C2">
        <w:rPr>
          <w:rFonts w:ascii="宋体" w:eastAsia="宋体" w:hAnsi="宋体" w:cs="宋体" w:hint="eastAsia"/>
          <w:sz w:val="24"/>
          <w:szCs w:val="24"/>
        </w:rPr>
        <w:lastRenderedPageBreak/>
        <w:t>偏低水平，对盘面有一定支撑。预计短期焦炭价格多随焦煤震荡偏强运行，上涨空间受制于钢厂利润。</w:t>
      </w:r>
    </w:p>
    <w:p w14:paraId="36BC2CC0" w14:textId="77777777" w:rsidR="008228C2" w:rsidRDefault="008228C2" w:rsidP="008228C2">
      <w:pPr>
        <w:spacing w:line="360" w:lineRule="auto"/>
        <w:rPr>
          <w:rFonts w:ascii="宋体" w:eastAsia="宋体" w:hAnsi="宋体" w:cs="宋体" w:hint="eastAsia"/>
          <w:sz w:val="24"/>
          <w:szCs w:val="24"/>
        </w:rPr>
      </w:pPr>
    </w:p>
    <w:p w14:paraId="5ECA10B0" w14:textId="77777777" w:rsidR="005163F1" w:rsidRDefault="00000000">
      <w:pPr>
        <w:spacing w:line="360" w:lineRule="auto"/>
        <w:rPr>
          <w:rFonts w:ascii="宋体" w:eastAsia="宋体" w:hAnsi="宋体" w:cs="宋体"/>
          <w:sz w:val="24"/>
          <w:szCs w:val="24"/>
        </w:rPr>
      </w:pPr>
      <w:r>
        <w:rPr>
          <w:rFonts w:ascii="宋体" w:eastAsia="宋体" w:hAnsi="宋体" w:cs="宋体" w:hint="eastAsia"/>
          <w:b/>
          <w:sz w:val="24"/>
          <w:szCs w:val="24"/>
        </w:rPr>
        <w:t>铁矿石</w:t>
      </w:r>
      <w:r>
        <w:rPr>
          <w:rFonts w:ascii="宋体" w:eastAsia="宋体" w:hAnsi="宋体" w:cs="宋体"/>
          <w:b/>
          <w:sz w:val="24"/>
          <w:szCs w:val="24"/>
        </w:rPr>
        <w:t>：</w:t>
      </w:r>
      <w:r>
        <w:rPr>
          <w:rFonts w:ascii="宋体" w:eastAsia="宋体" w:hAnsi="宋体" w:cs="宋体" w:hint="eastAsia"/>
          <w:sz w:val="24"/>
          <w:szCs w:val="24"/>
        </w:rPr>
        <w:t xml:space="preserve"> </w:t>
      </w:r>
    </w:p>
    <w:p w14:paraId="041EC57A" w14:textId="457B4DDE" w:rsidR="00432438" w:rsidRDefault="008228C2" w:rsidP="008228C2">
      <w:pPr>
        <w:spacing w:line="360" w:lineRule="auto"/>
        <w:rPr>
          <w:rFonts w:ascii="宋体" w:eastAsia="宋体" w:hAnsi="宋体" w:cs="宋体"/>
          <w:sz w:val="24"/>
          <w:szCs w:val="24"/>
        </w:rPr>
      </w:pPr>
      <w:r w:rsidRPr="008228C2">
        <w:rPr>
          <w:rFonts w:ascii="宋体" w:eastAsia="宋体" w:hAnsi="宋体" w:cs="宋体" w:hint="eastAsia"/>
          <w:sz w:val="24"/>
          <w:szCs w:val="24"/>
        </w:rPr>
        <w:t>铁矿石主力小幅下跌。i2209合约收盘价为786.5元/吨，跌-6.5，跌幅-0.82%，成交量44万手，持仓量50万手，-29005手。产业方面，全球铁矿石发货量为3233.8万吨，环比增加+194万吨，26港到港量为2117.5万吨，环比增加+128万吨，供给充足。需求端，日均铁水产量短期低位运行，但是近期钢材利润有所修复，且下游钢厂出货尚可，资金有所回笼，钢厂开始出现复产，另钢厂在铁矿低库存下，存在一定补库需求。</w:t>
      </w:r>
      <w:proofErr w:type="gramStart"/>
      <w:r w:rsidRPr="008228C2">
        <w:rPr>
          <w:rFonts w:ascii="宋体" w:eastAsia="宋体" w:hAnsi="宋体" w:cs="宋体" w:hint="eastAsia"/>
          <w:sz w:val="24"/>
          <w:szCs w:val="24"/>
        </w:rPr>
        <w:t>基差方面</w:t>
      </w:r>
      <w:proofErr w:type="gramEnd"/>
      <w:r w:rsidRPr="008228C2">
        <w:rPr>
          <w:rFonts w:ascii="宋体" w:eastAsia="宋体" w:hAnsi="宋体" w:cs="宋体" w:hint="eastAsia"/>
          <w:sz w:val="24"/>
          <w:szCs w:val="24"/>
        </w:rPr>
        <w:t>，铁矿石盘面贴水在反弹过程中有所修复，短期仍有一定修复空间。总的来说，临近交割，修复基差，铁矿石期现共振上涨，导致短期盘面偏强运行，但目前已涨至较高位，</w:t>
      </w:r>
      <w:proofErr w:type="gramStart"/>
      <w:r w:rsidRPr="008228C2">
        <w:rPr>
          <w:rFonts w:ascii="宋体" w:eastAsia="宋体" w:hAnsi="宋体" w:cs="宋体" w:hint="eastAsia"/>
          <w:sz w:val="24"/>
          <w:szCs w:val="24"/>
        </w:rPr>
        <w:t>且中期</w:t>
      </w:r>
      <w:proofErr w:type="gramEnd"/>
      <w:r w:rsidRPr="008228C2">
        <w:rPr>
          <w:rFonts w:ascii="宋体" w:eastAsia="宋体" w:hAnsi="宋体" w:cs="宋体" w:hint="eastAsia"/>
          <w:sz w:val="24"/>
          <w:szCs w:val="24"/>
        </w:rPr>
        <w:t>下跌趋势不变，警惕盘面回落的风险。</w:t>
      </w:r>
    </w:p>
    <w:p w14:paraId="2667286C" w14:textId="77777777" w:rsidR="008228C2" w:rsidRDefault="008228C2" w:rsidP="008228C2">
      <w:pPr>
        <w:spacing w:line="360" w:lineRule="auto"/>
        <w:rPr>
          <w:rFonts w:ascii="宋体" w:eastAsia="宋体" w:hAnsi="宋体" w:cs="宋体" w:hint="eastAsia"/>
          <w:sz w:val="24"/>
          <w:szCs w:val="24"/>
        </w:rPr>
      </w:pPr>
    </w:p>
    <w:p w14:paraId="2D04A762" w14:textId="77777777" w:rsidR="005163F1" w:rsidRDefault="00000000">
      <w:pPr>
        <w:spacing w:line="360" w:lineRule="auto"/>
        <w:rPr>
          <w:rFonts w:ascii="宋体" w:eastAsia="宋体" w:hAnsi="宋体" w:cs="宋体"/>
          <w:b/>
          <w:bCs/>
          <w:sz w:val="24"/>
          <w:szCs w:val="24"/>
        </w:rPr>
      </w:pPr>
      <w:r>
        <w:rPr>
          <w:rFonts w:ascii="宋体" w:eastAsia="宋体" w:hAnsi="宋体" w:cs="宋体" w:hint="eastAsia"/>
          <w:b/>
          <w:bCs/>
          <w:sz w:val="24"/>
          <w:szCs w:val="24"/>
        </w:rPr>
        <w:t>尿素：</w:t>
      </w:r>
    </w:p>
    <w:p w14:paraId="325915E4" w14:textId="77777777" w:rsidR="00CF641B" w:rsidRPr="00CF641B" w:rsidRDefault="00CF641B" w:rsidP="00CF641B">
      <w:pPr>
        <w:spacing w:line="360" w:lineRule="auto"/>
        <w:rPr>
          <w:rFonts w:ascii="宋体" w:eastAsia="宋体" w:hAnsi="宋体" w:cs="宋体" w:hint="eastAsia"/>
          <w:sz w:val="24"/>
          <w:szCs w:val="24"/>
        </w:rPr>
      </w:pPr>
      <w:r w:rsidRPr="00CF641B">
        <w:rPr>
          <w:rFonts w:ascii="宋体" w:eastAsia="宋体" w:hAnsi="宋体" w:cs="宋体" w:hint="eastAsia"/>
          <w:sz w:val="24"/>
          <w:szCs w:val="24"/>
        </w:rPr>
        <w:t>期货方面：尿素期价继续试探性反弹，UR2209合约开盘于2230元/吨，开盘后最低回踩2194元/吨，日内反弹走高，最高上行试探2266元/吨，尾盘报收于2254元/吨，呈现一根下影</w:t>
      </w:r>
      <w:proofErr w:type="gramStart"/>
      <w:r w:rsidRPr="00CF641B">
        <w:rPr>
          <w:rFonts w:ascii="宋体" w:eastAsia="宋体" w:hAnsi="宋体" w:cs="宋体" w:hint="eastAsia"/>
          <w:sz w:val="24"/>
          <w:szCs w:val="24"/>
        </w:rPr>
        <w:t>线相对</w:t>
      </w:r>
      <w:proofErr w:type="gramEnd"/>
      <w:r w:rsidRPr="00CF641B">
        <w:rPr>
          <w:rFonts w:ascii="宋体" w:eastAsia="宋体" w:hAnsi="宋体" w:cs="宋体" w:hint="eastAsia"/>
          <w:sz w:val="24"/>
          <w:szCs w:val="24"/>
        </w:rPr>
        <w:t>较长的小阳线，结算价2236元/吨，涨幅1.35%。成交量44131手，-8535手，持仓量51646手，-2582手。目前主力资金</w:t>
      </w:r>
      <w:proofErr w:type="gramStart"/>
      <w:r w:rsidRPr="00CF641B">
        <w:rPr>
          <w:rFonts w:ascii="宋体" w:eastAsia="宋体" w:hAnsi="宋体" w:cs="宋体" w:hint="eastAsia"/>
          <w:sz w:val="24"/>
          <w:szCs w:val="24"/>
        </w:rPr>
        <w:t>显著向</w:t>
      </w:r>
      <w:proofErr w:type="gramEnd"/>
      <w:r w:rsidRPr="00CF641B">
        <w:rPr>
          <w:rFonts w:ascii="宋体" w:eastAsia="宋体" w:hAnsi="宋体" w:cs="宋体" w:hint="eastAsia"/>
          <w:sz w:val="24"/>
          <w:szCs w:val="24"/>
        </w:rPr>
        <w:t>远期1月合约转移，持仓量已经增长超过9月合约，后续成交量逐渐增加，换月即将完成。</w:t>
      </w:r>
    </w:p>
    <w:p w14:paraId="1EA990FD" w14:textId="77777777" w:rsidR="00CF641B" w:rsidRPr="00CF641B" w:rsidRDefault="00CF641B" w:rsidP="00CF641B">
      <w:pPr>
        <w:spacing w:line="360" w:lineRule="auto"/>
        <w:rPr>
          <w:rFonts w:ascii="宋体" w:eastAsia="宋体" w:hAnsi="宋体" w:cs="宋体" w:hint="eastAsia"/>
          <w:sz w:val="24"/>
          <w:szCs w:val="24"/>
        </w:rPr>
      </w:pPr>
      <w:r w:rsidRPr="00CF641B">
        <w:rPr>
          <w:rFonts w:ascii="宋体" w:eastAsia="宋体" w:hAnsi="宋体" w:cs="宋体" w:hint="eastAsia"/>
          <w:sz w:val="24"/>
          <w:szCs w:val="24"/>
        </w:rPr>
        <w:t>持仓方面，UR2209合约前二十名多头持仓31234手，-734手；前二十名空头持仓34810手，-139手；多空主力小规模减持，主力资金逐渐向与远期1月合约转移，1月合约多空主力均有增持，多头主力增仓相对积极主动。</w:t>
      </w:r>
    </w:p>
    <w:p w14:paraId="6A2C067C" w14:textId="77777777" w:rsidR="00CF641B" w:rsidRPr="00CF641B" w:rsidRDefault="00CF641B" w:rsidP="00CF641B">
      <w:pPr>
        <w:spacing w:line="360" w:lineRule="auto"/>
        <w:rPr>
          <w:rFonts w:ascii="宋体" w:eastAsia="宋体" w:hAnsi="宋体" w:cs="宋体" w:hint="eastAsia"/>
          <w:sz w:val="24"/>
          <w:szCs w:val="24"/>
        </w:rPr>
      </w:pPr>
      <w:r w:rsidRPr="00CF641B">
        <w:rPr>
          <w:rFonts w:ascii="宋体" w:eastAsia="宋体" w:hAnsi="宋体" w:cs="宋体" w:hint="eastAsia"/>
          <w:sz w:val="24"/>
          <w:szCs w:val="24"/>
        </w:rPr>
        <w:lastRenderedPageBreak/>
        <w:t>尿素现货价格涨势放缓，行情逐步趋稳。目前主要</w:t>
      </w:r>
      <w:proofErr w:type="gramStart"/>
      <w:r w:rsidRPr="00CF641B">
        <w:rPr>
          <w:rFonts w:ascii="宋体" w:eastAsia="宋体" w:hAnsi="宋体" w:cs="宋体" w:hint="eastAsia"/>
          <w:sz w:val="24"/>
          <w:szCs w:val="24"/>
        </w:rPr>
        <w:t>交割区</w:t>
      </w:r>
      <w:proofErr w:type="gramEnd"/>
      <w:r w:rsidRPr="00CF641B">
        <w:rPr>
          <w:rFonts w:ascii="宋体" w:eastAsia="宋体" w:hAnsi="宋体" w:cs="宋体" w:hint="eastAsia"/>
          <w:sz w:val="24"/>
          <w:szCs w:val="24"/>
        </w:rPr>
        <w:t>尿素出厂价格在2340-2360元/吨，河南局部地区价格小幅上调10元/吨。不过，工厂新单成交情况已经不及前几日，</w:t>
      </w:r>
      <w:proofErr w:type="gramStart"/>
      <w:r w:rsidRPr="00CF641B">
        <w:rPr>
          <w:rFonts w:ascii="宋体" w:eastAsia="宋体" w:hAnsi="宋体" w:cs="宋体" w:hint="eastAsia"/>
          <w:sz w:val="24"/>
          <w:szCs w:val="24"/>
        </w:rPr>
        <w:t>北方农需扫尾</w:t>
      </w:r>
      <w:proofErr w:type="gramEnd"/>
      <w:r w:rsidRPr="00CF641B">
        <w:rPr>
          <w:rFonts w:ascii="宋体" w:eastAsia="宋体" w:hAnsi="宋体" w:cs="宋体" w:hint="eastAsia"/>
          <w:sz w:val="24"/>
          <w:szCs w:val="24"/>
        </w:rPr>
        <w:t>期用肥基本结束，目前仅少量农业经销商及下游工厂略有补货，市场成交活跃度不高。</w:t>
      </w:r>
    </w:p>
    <w:p w14:paraId="3601B550" w14:textId="77777777" w:rsidR="00CF641B" w:rsidRPr="00CF641B" w:rsidRDefault="00CF641B" w:rsidP="00CF641B">
      <w:pPr>
        <w:spacing w:line="360" w:lineRule="auto"/>
        <w:rPr>
          <w:rFonts w:ascii="宋体" w:eastAsia="宋体" w:hAnsi="宋体" w:cs="宋体" w:hint="eastAsia"/>
          <w:sz w:val="24"/>
          <w:szCs w:val="24"/>
        </w:rPr>
      </w:pPr>
      <w:r w:rsidRPr="00CF641B">
        <w:rPr>
          <w:rFonts w:ascii="宋体" w:eastAsia="宋体" w:hAnsi="宋体" w:cs="宋体" w:hint="eastAsia"/>
          <w:sz w:val="24"/>
          <w:szCs w:val="24"/>
        </w:rPr>
        <w:t>今日期货收盘价上涨，而现货价格高位持稳，尿素9月合约</w:t>
      </w:r>
      <w:proofErr w:type="gramStart"/>
      <w:r w:rsidRPr="00CF641B">
        <w:rPr>
          <w:rFonts w:ascii="宋体" w:eastAsia="宋体" w:hAnsi="宋体" w:cs="宋体" w:hint="eastAsia"/>
          <w:sz w:val="24"/>
          <w:szCs w:val="24"/>
        </w:rPr>
        <w:t>基差继续</w:t>
      </w:r>
      <w:proofErr w:type="gramEnd"/>
      <w:r w:rsidRPr="00CF641B">
        <w:rPr>
          <w:rFonts w:ascii="宋体" w:eastAsia="宋体" w:hAnsi="宋体" w:cs="宋体" w:hint="eastAsia"/>
          <w:sz w:val="24"/>
          <w:szCs w:val="24"/>
        </w:rPr>
        <w:t>收窄至136元/吨，尿素1月合约基差在286元/吨。</w:t>
      </w:r>
    </w:p>
    <w:p w14:paraId="7A9597F9" w14:textId="77777777" w:rsidR="00CF641B" w:rsidRPr="00CF641B" w:rsidRDefault="00CF641B" w:rsidP="00CF641B">
      <w:pPr>
        <w:spacing w:line="360" w:lineRule="auto"/>
        <w:rPr>
          <w:rFonts w:ascii="宋体" w:eastAsia="宋体" w:hAnsi="宋体" w:cs="宋体" w:hint="eastAsia"/>
          <w:sz w:val="24"/>
          <w:szCs w:val="24"/>
        </w:rPr>
      </w:pPr>
      <w:r w:rsidRPr="00CF641B">
        <w:rPr>
          <w:rFonts w:ascii="宋体" w:eastAsia="宋体" w:hAnsi="宋体" w:cs="宋体" w:hint="eastAsia"/>
          <w:sz w:val="24"/>
          <w:szCs w:val="24"/>
        </w:rPr>
        <w:t>供应方面，2022年8月3日，国内尿素日产量14.6万吨，环比下降0.1万吨，同比增长0.1吨，开工率62%。今日，</w:t>
      </w:r>
      <w:proofErr w:type="gramStart"/>
      <w:r w:rsidRPr="00CF641B">
        <w:rPr>
          <w:rFonts w:ascii="宋体" w:eastAsia="宋体" w:hAnsi="宋体" w:cs="宋体" w:hint="eastAsia"/>
          <w:sz w:val="24"/>
          <w:szCs w:val="24"/>
        </w:rPr>
        <w:t>天泽周村</w:t>
      </w:r>
      <w:proofErr w:type="gramEnd"/>
      <w:r w:rsidRPr="00CF641B">
        <w:rPr>
          <w:rFonts w:ascii="宋体" w:eastAsia="宋体" w:hAnsi="宋体" w:cs="宋体" w:hint="eastAsia"/>
          <w:sz w:val="24"/>
          <w:szCs w:val="24"/>
        </w:rPr>
        <w:t>、丰喜华瑞年度检修开始，不过中煤鄂尔多斯80万吨产能已经开始复产试车阶段，博大实地装置也在8月1日开始出产品，预计供应端暂时持稳。</w:t>
      </w:r>
    </w:p>
    <w:p w14:paraId="22ACC421" w14:textId="2479DB30" w:rsidR="005163F1" w:rsidRDefault="00CF641B" w:rsidP="00CF641B">
      <w:pPr>
        <w:spacing w:line="360" w:lineRule="auto"/>
        <w:rPr>
          <w:rFonts w:ascii="宋体" w:eastAsia="宋体" w:hAnsi="宋体" w:cs="宋体"/>
          <w:sz w:val="24"/>
          <w:szCs w:val="24"/>
        </w:rPr>
      </w:pPr>
      <w:r w:rsidRPr="00CF641B">
        <w:rPr>
          <w:rFonts w:ascii="宋体" w:eastAsia="宋体" w:hAnsi="宋体" w:cs="宋体" w:hint="eastAsia"/>
          <w:sz w:val="24"/>
          <w:szCs w:val="24"/>
        </w:rPr>
        <w:t>目前，期现货价格交替上行，9月合约基于</w:t>
      </w:r>
      <w:proofErr w:type="gramStart"/>
      <w:r w:rsidRPr="00CF641B">
        <w:rPr>
          <w:rFonts w:ascii="宋体" w:eastAsia="宋体" w:hAnsi="宋体" w:cs="宋体" w:hint="eastAsia"/>
          <w:sz w:val="24"/>
          <w:szCs w:val="24"/>
        </w:rPr>
        <w:t>基差回归</w:t>
      </w:r>
      <w:proofErr w:type="gramEnd"/>
      <w:r w:rsidRPr="00CF641B">
        <w:rPr>
          <w:rFonts w:ascii="宋体" w:eastAsia="宋体" w:hAnsi="宋体" w:cs="宋体" w:hint="eastAsia"/>
          <w:sz w:val="24"/>
          <w:szCs w:val="24"/>
        </w:rPr>
        <w:t>需求下，短期表现出了较强的抗跌意愿，叠加现价高位暂稳，期价连续两个交易日试探性反弹，正在试图构建底部图形。不过，现货市场来看，</w:t>
      </w:r>
      <w:proofErr w:type="gramStart"/>
      <w:r w:rsidRPr="00CF641B">
        <w:rPr>
          <w:rFonts w:ascii="宋体" w:eastAsia="宋体" w:hAnsi="宋体" w:cs="宋体" w:hint="eastAsia"/>
          <w:sz w:val="24"/>
          <w:szCs w:val="24"/>
        </w:rPr>
        <w:t>农需淡季</w:t>
      </w:r>
      <w:proofErr w:type="gramEnd"/>
      <w:r w:rsidRPr="00CF641B">
        <w:rPr>
          <w:rFonts w:ascii="宋体" w:eastAsia="宋体" w:hAnsi="宋体" w:cs="宋体" w:hint="eastAsia"/>
          <w:sz w:val="24"/>
          <w:szCs w:val="24"/>
        </w:rPr>
        <w:t>、工业需求低迷以及出口受到法检政策影响短期难有改善，缺乏有力买方支撑，现价涨势已经放缓，目前缺乏有力利多因素提振，价格上行在供需宽松背景下，大概率将承压回落。期价反弹持续性我们还需审慎对待，上方关注颈线附近压力。</w:t>
      </w:r>
    </w:p>
    <w:p w14:paraId="58ECF869" w14:textId="77777777" w:rsidR="005163F1" w:rsidRDefault="005163F1">
      <w:pPr>
        <w:spacing w:line="360" w:lineRule="auto"/>
        <w:rPr>
          <w:rFonts w:ascii="宋体" w:eastAsia="宋体" w:hAnsi="宋体" w:cs="宋体"/>
          <w:sz w:val="24"/>
          <w:szCs w:val="24"/>
        </w:rPr>
      </w:pPr>
    </w:p>
    <w:p w14:paraId="1602A67E" w14:textId="77777777" w:rsidR="005163F1" w:rsidRDefault="005163F1">
      <w:pPr>
        <w:spacing w:line="360" w:lineRule="auto"/>
        <w:rPr>
          <w:rFonts w:ascii="宋体" w:eastAsia="宋体" w:hAnsi="宋体" w:cs="宋体"/>
          <w:sz w:val="24"/>
          <w:szCs w:val="24"/>
        </w:rPr>
      </w:pPr>
    </w:p>
    <w:p w14:paraId="7EB9FB26" w14:textId="77777777" w:rsidR="005163F1" w:rsidRDefault="005163F1">
      <w:pPr>
        <w:spacing w:line="360" w:lineRule="auto"/>
        <w:rPr>
          <w:rFonts w:ascii="宋体" w:eastAsia="宋体" w:hAnsi="宋体" w:cs="宋体"/>
          <w:sz w:val="24"/>
          <w:szCs w:val="24"/>
        </w:rPr>
      </w:pPr>
    </w:p>
    <w:p w14:paraId="0C690ECA" w14:textId="38E59CFC" w:rsidR="005163F1" w:rsidRDefault="005163F1">
      <w:pPr>
        <w:spacing w:line="360" w:lineRule="auto"/>
        <w:rPr>
          <w:rFonts w:ascii="宋体" w:eastAsia="宋体" w:hAnsi="宋体" w:cs="宋体"/>
          <w:sz w:val="24"/>
          <w:szCs w:val="24"/>
        </w:rPr>
      </w:pPr>
    </w:p>
    <w:p w14:paraId="5BC454EC" w14:textId="15FAD8B9" w:rsidR="00415AB2" w:rsidRDefault="00415AB2">
      <w:pPr>
        <w:spacing w:line="360" w:lineRule="auto"/>
        <w:rPr>
          <w:rFonts w:ascii="宋体" w:eastAsia="宋体" w:hAnsi="宋体" w:cs="宋体"/>
          <w:sz w:val="24"/>
          <w:szCs w:val="24"/>
        </w:rPr>
      </w:pPr>
    </w:p>
    <w:p w14:paraId="5358F5C4" w14:textId="16D941C3" w:rsidR="00415AB2" w:rsidRDefault="00415AB2">
      <w:pPr>
        <w:spacing w:line="360" w:lineRule="auto"/>
        <w:rPr>
          <w:rFonts w:ascii="宋体" w:eastAsia="宋体" w:hAnsi="宋体" w:cs="宋体"/>
          <w:sz w:val="24"/>
          <w:szCs w:val="24"/>
        </w:rPr>
      </w:pPr>
    </w:p>
    <w:p w14:paraId="27BC9C59" w14:textId="09C6D941" w:rsidR="00415AB2" w:rsidRDefault="00415AB2">
      <w:pPr>
        <w:spacing w:line="360" w:lineRule="auto"/>
        <w:rPr>
          <w:rFonts w:ascii="宋体" w:eastAsia="宋体" w:hAnsi="宋体" w:cs="宋体"/>
          <w:sz w:val="24"/>
          <w:szCs w:val="24"/>
        </w:rPr>
      </w:pPr>
    </w:p>
    <w:p w14:paraId="2C893AB4" w14:textId="77777777" w:rsidR="00415AB2" w:rsidRDefault="00415AB2">
      <w:pPr>
        <w:spacing w:line="360" w:lineRule="auto"/>
        <w:rPr>
          <w:rFonts w:ascii="宋体" w:eastAsia="宋体" w:hAnsi="宋体" w:cs="宋体"/>
          <w:sz w:val="24"/>
          <w:szCs w:val="24"/>
        </w:rPr>
      </w:pPr>
    </w:p>
    <w:p w14:paraId="356916A7" w14:textId="77777777" w:rsidR="005163F1" w:rsidRDefault="005163F1">
      <w:pPr>
        <w:spacing w:line="360" w:lineRule="auto"/>
        <w:rPr>
          <w:rFonts w:ascii="宋体" w:eastAsia="宋体" w:hAnsi="宋体" w:cs="宋体"/>
          <w:sz w:val="24"/>
          <w:szCs w:val="24"/>
        </w:rPr>
      </w:pPr>
    </w:p>
    <w:p w14:paraId="1B96D225" w14:textId="77777777" w:rsidR="005163F1" w:rsidRDefault="005163F1">
      <w:pPr>
        <w:spacing w:line="360" w:lineRule="auto"/>
        <w:rPr>
          <w:rFonts w:ascii="宋体" w:eastAsia="宋体" w:hAnsi="宋体" w:cs="宋体"/>
          <w:sz w:val="24"/>
          <w:szCs w:val="24"/>
        </w:rPr>
      </w:pPr>
    </w:p>
    <w:p w14:paraId="0408A83E" w14:textId="77777777" w:rsidR="005163F1" w:rsidRDefault="005163F1">
      <w:pPr>
        <w:spacing w:line="360" w:lineRule="auto"/>
        <w:rPr>
          <w:rFonts w:ascii="宋体" w:eastAsia="宋体" w:hAnsi="宋体" w:cs="宋体"/>
          <w:sz w:val="24"/>
          <w:szCs w:val="24"/>
        </w:rPr>
      </w:pPr>
    </w:p>
    <w:p w14:paraId="5B2AFAFC" w14:textId="5E868ADA" w:rsidR="005163F1" w:rsidRDefault="005163F1">
      <w:pPr>
        <w:spacing w:line="360" w:lineRule="auto"/>
        <w:rPr>
          <w:rFonts w:ascii="宋体" w:eastAsia="宋体" w:hAnsi="宋体" w:cs="宋体"/>
          <w:sz w:val="24"/>
          <w:szCs w:val="24"/>
        </w:rPr>
      </w:pPr>
    </w:p>
    <w:p w14:paraId="6A89C24E" w14:textId="41F026DE" w:rsidR="008228C2" w:rsidRDefault="008228C2">
      <w:pPr>
        <w:spacing w:line="360" w:lineRule="auto"/>
        <w:rPr>
          <w:rFonts w:ascii="宋体" w:eastAsia="宋体" w:hAnsi="宋体" w:cs="宋体"/>
          <w:sz w:val="24"/>
          <w:szCs w:val="24"/>
        </w:rPr>
      </w:pPr>
    </w:p>
    <w:p w14:paraId="350FE825" w14:textId="3E499095" w:rsidR="008228C2" w:rsidRDefault="008228C2">
      <w:pPr>
        <w:spacing w:line="360" w:lineRule="auto"/>
        <w:rPr>
          <w:rFonts w:ascii="宋体" w:eastAsia="宋体" w:hAnsi="宋体" w:cs="宋体"/>
          <w:sz w:val="24"/>
          <w:szCs w:val="24"/>
        </w:rPr>
      </w:pPr>
    </w:p>
    <w:p w14:paraId="273C865D" w14:textId="57FB5648" w:rsidR="008228C2" w:rsidRDefault="008228C2">
      <w:pPr>
        <w:spacing w:line="360" w:lineRule="auto"/>
        <w:rPr>
          <w:rFonts w:ascii="宋体" w:eastAsia="宋体" w:hAnsi="宋体" w:cs="宋体"/>
          <w:sz w:val="24"/>
          <w:szCs w:val="24"/>
        </w:rPr>
      </w:pPr>
    </w:p>
    <w:p w14:paraId="6029E058" w14:textId="41908827" w:rsidR="008228C2" w:rsidRDefault="008228C2">
      <w:pPr>
        <w:spacing w:line="360" w:lineRule="auto"/>
        <w:rPr>
          <w:rFonts w:ascii="宋体" w:eastAsia="宋体" w:hAnsi="宋体" w:cs="宋体"/>
          <w:sz w:val="24"/>
          <w:szCs w:val="24"/>
        </w:rPr>
      </w:pPr>
    </w:p>
    <w:p w14:paraId="60C4277E" w14:textId="77777777" w:rsidR="008228C2" w:rsidRDefault="008228C2">
      <w:pPr>
        <w:spacing w:line="360" w:lineRule="auto"/>
        <w:rPr>
          <w:rFonts w:ascii="宋体" w:eastAsia="宋体" w:hAnsi="宋体" w:cs="宋体" w:hint="eastAsia"/>
          <w:sz w:val="24"/>
          <w:szCs w:val="24"/>
        </w:rPr>
      </w:pPr>
    </w:p>
    <w:p w14:paraId="1AEB72AF" w14:textId="77777777" w:rsidR="005163F1" w:rsidRDefault="00000000">
      <w:pPr>
        <w:spacing w:line="360" w:lineRule="auto"/>
        <w:rPr>
          <w:rFonts w:ascii="楷体" w:eastAsia="楷体" w:hAnsi="楷体" w:cs="楷体"/>
          <w:b/>
          <w:iCs/>
          <w:color w:val="1F497D"/>
          <w:sz w:val="24"/>
          <w:szCs w:val="24"/>
        </w:rPr>
      </w:pPr>
      <w:r>
        <w:rPr>
          <w:rFonts w:ascii="楷体" w:eastAsia="楷体" w:hAnsi="楷体" w:cs="楷体" w:hint="eastAsia"/>
          <w:b/>
          <w:iCs/>
          <w:color w:val="1F497D"/>
          <w:sz w:val="24"/>
          <w:szCs w:val="24"/>
        </w:rPr>
        <w:t>本报告发布机构</w:t>
      </w:r>
    </w:p>
    <w:p w14:paraId="559B74F2" w14:textId="77777777" w:rsidR="005163F1" w:rsidRDefault="00000000">
      <w:pPr>
        <w:spacing w:after="120" w:line="288" w:lineRule="auto"/>
        <w:jc w:val="left"/>
        <w:rPr>
          <w:rFonts w:ascii="楷体" w:eastAsia="楷体" w:hAnsi="楷体" w:cs="楷体"/>
          <w:b/>
          <w:iCs/>
          <w:color w:val="1F497D"/>
          <w:sz w:val="24"/>
          <w:szCs w:val="24"/>
        </w:rPr>
      </w:pPr>
      <w:r>
        <w:rPr>
          <w:rFonts w:ascii="楷体" w:eastAsia="楷体" w:hAnsi="楷体" w:cs="楷体" w:hint="eastAsia"/>
          <w:b/>
          <w:iCs/>
          <w:color w:val="1F497D"/>
          <w:sz w:val="24"/>
          <w:szCs w:val="24"/>
        </w:rPr>
        <w:t>--</w:t>
      </w:r>
      <w:proofErr w:type="gramStart"/>
      <w:r>
        <w:rPr>
          <w:rFonts w:ascii="楷体" w:eastAsia="楷体" w:hAnsi="楷体" w:cs="楷体" w:hint="eastAsia"/>
          <w:b/>
          <w:iCs/>
          <w:color w:val="1F497D"/>
          <w:sz w:val="24"/>
          <w:szCs w:val="24"/>
        </w:rPr>
        <w:t>冠通期货</w:t>
      </w:r>
      <w:proofErr w:type="gramEnd"/>
      <w:r>
        <w:rPr>
          <w:rFonts w:ascii="楷体" w:eastAsia="楷体" w:hAnsi="楷体" w:cs="楷体" w:hint="eastAsia"/>
          <w:b/>
          <w:iCs/>
          <w:color w:val="1F497D"/>
          <w:sz w:val="24"/>
          <w:szCs w:val="24"/>
        </w:rPr>
        <w:t>股份有限公司（已获中国证监会许可的期货投资咨询业务资格）</w:t>
      </w:r>
    </w:p>
    <w:p w14:paraId="47E24BCB" w14:textId="77777777" w:rsidR="005163F1" w:rsidRDefault="00000000">
      <w:pPr>
        <w:spacing w:after="120" w:line="288" w:lineRule="auto"/>
        <w:jc w:val="left"/>
        <w:rPr>
          <w:rFonts w:ascii="楷体" w:eastAsia="楷体" w:hAnsi="楷体" w:cs="楷体"/>
          <w:b/>
          <w:iCs/>
          <w:color w:val="1F497D"/>
          <w:sz w:val="24"/>
          <w:szCs w:val="24"/>
        </w:rPr>
      </w:pPr>
      <w:r>
        <w:rPr>
          <w:rFonts w:ascii="楷体" w:eastAsia="楷体" w:hAnsi="楷体" w:cs="楷体" w:hint="eastAsia"/>
          <w:b/>
          <w:iCs/>
          <w:color w:val="1F497D"/>
          <w:sz w:val="24"/>
          <w:szCs w:val="24"/>
        </w:rPr>
        <w:t>免责声</w:t>
      </w:r>
      <w:r>
        <w:rPr>
          <w:rFonts w:ascii="楷体" w:eastAsia="楷体" w:hAnsi="楷体" w:cs="楷体" w:hint="eastAsia"/>
          <w:b/>
          <w:iCs/>
          <w:color w:val="17365D"/>
          <w:sz w:val="24"/>
          <w:szCs w:val="24"/>
        </w:rPr>
        <w:t>明</w:t>
      </w:r>
      <w:r>
        <w:rPr>
          <w:rFonts w:ascii="楷体" w:eastAsia="楷体" w:hAnsi="楷体" w:cs="楷体" w:hint="eastAsia"/>
          <w:b/>
          <w:iCs/>
          <w:color w:val="1F497D"/>
          <w:sz w:val="24"/>
          <w:szCs w:val="24"/>
        </w:rPr>
        <w:t>：</w:t>
      </w:r>
    </w:p>
    <w:p w14:paraId="4F828974" w14:textId="77777777" w:rsidR="005163F1" w:rsidRDefault="00000000">
      <w:pPr>
        <w:spacing w:after="120" w:line="288" w:lineRule="auto"/>
        <w:jc w:val="left"/>
        <w:rPr>
          <w:rFonts w:ascii="楷体" w:eastAsia="楷体" w:hAnsi="楷体" w:cs="楷体"/>
          <w:iCs/>
          <w:sz w:val="24"/>
          <w:szCs w:val="24"/>
        </w:rPr>
      </w:pPr>
      <w:r>
        <w:rPr>
          <w:rFonts w:ascii="楷体" w:eastAsia="楷体" w:hAnsi="楷体" w:cs="楷体" w:hint="eastAsia"/>
          <w:iCs/>
          <w:sz w:val="24"/>
          <w:szCs w:val="24"/>
        </w:rPr>
        <w:t>本报告中的信息均来源于公开资料，我公司对这些信息的准确性和完整性不作任何保证。报告中的内容和意见仅供参考，并不构成对所述品种买卖的出价</w:t>
      </w:r>
      <w:proofErr w:type="gramStart"/>
      <w:r>
        <w:rPr>
          <w:rFonts w:ascii="楷体" w:eastAsia="楷体" w:hAnsi="楷体" w:cs="楷体" w:hint="eastAsia"/>
          <w:iCs/>
          <w:sz w:val="24"/>
          <w:szCs w:val="24"/>
        </w:rPr>
        <w:t>或征价</w:t>
      </w:r>
      <w:proofErr w:type="gramEnd"/>
      <w:r>
        <w:rPr>
          <w:rFonts w:ascii="楷体" w:eastAsia="楷体" w:hAnsi="楷体" w:cs="楷体" w:hint="eastAsia"/>
          <w:iCs/>
          <w:sz w:val="24"/>
          <w:szCs w:val="24"/>
        </w:rPr>
        <w:t>。我公司及其雇员对使用本报告及其内容所引发的任何直接或间接损失概不负责。本报告仅向特定客户传送，版权</w:t>
      </w:r>
      <w:proofErr w:type="gramStart"/>
      <w:r>
        <w:rPr>
          <w:rFonts w:ascii="楷体" w:eastAsia="楷体" w:hAnsi="楷体" w:cs="楷体" w:hint="eastAsia"/>
          <w:iCs/>
          <w:sz w:val="24"/>
          <w:szCs w:val="24"/>
        </w:rPr>
        <w:t>归冠通</w:t>
      </w:r>
      <w:proofErr w:type="gramEnd"/>
      <w:r>
        <w:rPr>
          <w:rFonts w:ascii="楷体" w:eastAsia="楷体" w:hAnsi="楷体" w:cs="楷体" w:hint="eastAsia"/>
          <w:iCs/>
          <w:sz w:val="24"/>
          <w:szCs w:val="24"/>
        </w:rPr>
        <w:t>期货所有。未经我公司书面许可，任何机构和个人均不得以任何形式翻版，复制，引用或转载。如引用、转载、刊发，须注明出处</w:t>
      </w:r>
      <w:proofErr w:type="gramStart"/>
      <w:r>
        <w:rPr>
          <w:rFonts w:ascii="楷体" w:eastAsia="楷体" w:hAnsi="楷体" w:cs="楷体" w:hint="eastAsia"/>
          <w:iCs/>
          <w:sz w:val="24"/>
          <w:szCs w:val="24"/>
        </w:rPr>
        <w:t>为冠通期货</w:t>
      </w:r>
      <w:proofErr w:type="gramEnd"/>
      <w:r>
        <w:rPr>
          <w:rFonts w:ascii="楷体" w:eastAsia="楷体" w:hAnsi="楷体" w:cs="楷体" w:hint="eastAsia"/>
          <w:iCs/>
          <w:sz w:val="24"/>
          <w:szCs w:val="24"/>
        </w:rPr>
        <w:t>股份有限公司。</w:t>
      </w:r>
    </w:p>
    <w:sectPr w:rsidR="005163F1">
      <w:headerReference w:type="default" r:id="rId9"/>
      <w:footerReference w:type="default" r:id="rId10"/>
      <w:pgSz w:w="11906" w:h="16838"/>
      <w:pgMar w:top="1440" w:right="1800" w:bottom="1440" w:left="1800" w:header="851" w:footer="22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5D80" w14:textId="77777777" w:rsidR="00DF3A28" w:rsidRDefault="00DF3A28">
      <w:pPr>
        <w:spacing w:line="240" w:lineRule="auto"/>
      </w:pPr>
      <w:r>
        <w:separator/>
      </w:r>
    </w:p>
  </w:endnote>
  <w:endnote w:type="continuationSeparator" w:id="0">
    <w:p w14:paraId="0656D8D6" w14:textId="77777777" w:rsidR="00DF3A28" w:rsidRDefault="00DF3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EE1C" w14:textId="77777777" w:rsidR="005163F1" w:rsidRDefault="00000000">
    <w:pPr>
      <w:pStyle w:val="a6"/>
      <w:jc w:val="center"/>
      <w:rPr>
        <w:b/>
        <w:color w:val="8DB3E2" w:themeColor="accent2"/>
      </w:rPr>
    </w:pPr>
    <w:r>
      <w:rPr>
        <w:rFonts w:hint="eastAsia"/>
        <w:b/>
        <w:color w:val="8DB3E2" w:themeColor="accent2"/>
      </w:rPr>
      <w:t>投资有风险，入市需谨慎。</w:t>
    </w:r>
  </w:p>
  <w:p w14:paraId="763058A6" w14:textId="77777777" w:rsidR="005163F1" w:rsidRDefault="00000000">
    <w:pPr>
      <w:pStyle w:val="a6"/>
      <w:jc w:val="center"/>
    </w:pPr>
    <w:r>
      <w:rPr>
        <w:rFonts w:hint="eastAsia"/>
        <w:b/>
        <w:color w:val="8DB3E2" w:themeColor="accent2"/>
      </w:rPr>
      <w:t>本公司具备期货投资咨询业务资格，请务必阅读最后一页免责声明。</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0F1E" w14:textId="77777777" w:rsidR="00DF3A28" w:rsidRDefault="00DF3A28">
      <w:pPr>
        <w:spacing w:after="0"/>
      </w:pPr>
      <w:r>
        <w:separator/>
      </w:r>
    </w:p>
  </w:footnote>
  <w:footnote w:type="continuationSeparator" w:id="0">
    <w:p w14:paraId="19CD79A3" w14:textId="77777777" w:rsidR="00DF3A28" w:rsidRDefault="00DF3A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page" w:tblpX="1837" w:tblpY="423"/>
      <w:tblOverlap w:val="never"/>
      <w:tblW w:w="0" w:type="auto"/>
      <w:tblLayout w:type="fixed"/>
      <w:tblLook w:val="04A0" w:firstRow="1" w:lastRow="0" w:firstColumn="1" w:lastColumn="0" w:noHBand="0" w:noVBand="1"/>
    </w:tblPr>
    <w:tblGrid>
      <w:gridCol w:w="8522"/>
    </w:tblGrid>
    <w:tr w:rsidR="005163F1" w14:paraId="3201B830" w14:textId="77777777">
      <w:tc>
        <w:tcPr>
          <w:tcW w:w="8522" w:type="dxa"/>
        </w:tcPr>
        <w:p w14:paraId="4524DB66" w14:textId="77777777" w:rsidR="005163F1" w:rsidRDefault="00000000">
          <w:pPr>
            <w:rPr>
              <w:sz w:val="28"/>
            </w:rPr>
          </w:pPr>
          <w:r>
            <w:rPr>
              <w:noProof/>
              <w:sz w:val="28"/>
            </w:rPr>
            <w:drawing>
              <wp:inline distT="0" distB="0" distL="0" distR="0" wp14:anchorId="3AA3ED79" wp14:editId="3DDA183E">
                <wp:extent cx="2514600" cy="466725"/>
                <wp:effectExtent l="0" t="0" r="0" b="9525"/>
                <wp:docPr id="5" name="图片 5" descr="公司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司全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14600" cy="466725"/>
                        </a:xfrm>
                        <a:prstGeom prst="rect">
                          <a:avLst/>
                        </a:prstGeom>
                        <a:noFill/>
                        <a:ln>
                          <a:noFill/>
                        </a:ln>
                      </pic:spPr>
                    </pic:pic>
                  </a:graphicData>
                </a:graphic>
              </wp:inline>
            </w:drawing>
          </w:r>
          <w:r>
            <w:rPr>
              <w:noProof/>
              <w:sz w:val="28"/>
            </w:rPr>
            <mc:AlternateContent>
              <mc:Choice Requires="wpg">
                <w:drawing>
                  <wp:anchor distT="0" distB="0" distL="114300" distR="114300" simplePos="0" relativeHeight="251659264" behindDoc="0" locked="0" layoutInCell="1" allowOverlap="1" wp14:anchorId="72E0E1D4" wp14:editId="38448404">
                    <wp:simplePos x="0" y="0"/>
                    <wp:positionH relativeFrom="column">
                      <wp:posOffset>2486025</wp:posOffset>
                    </wp:positionH>
                    <wp:positionV relativeFrom="paragraph">
                      <wp:posOffset>60325</wp:posOffset>
                    </wp:positionV>
                    <wp:extent cx="2867025" cy="424180"/>
                    <wp:effectExtent l="3810" t="4445" r="0" b="0"/>
                    <wp:wrapNone/>
                    <wp:docPr id="7"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2" name="Rectangle 3"/>
                            <wps:cNvSpPr>
                              <a:spLocks noChangeArrowheads="1"/>
                            </wps:cNvSpPr>
                            <wps:spPr bwMode="auto">
                              <a:xfrm>
                                <a:off x="150" y="525"/>
                                <a:ext cx="4365" cy="143"/>
                              </a:xfrm>
                              <a:prstGeom prst="rect">
                                <a:avLst/>
                              </a:prstGeom>
                              <a:gradFill rotWithShape="0">
                                <a:gsLst>
                                  <a:gs pos="0">
                                    <a:srgbClr val="4F81BD"/>
                                  </a:gs>
                                  <a:gs pos="100000">
                                    <a:srgbClr val="FFFFFF"/>
                                  </a:gs>
                                </a:gsLst>
                                <a:lin ang="0" scaled="1"/>
                              </a:gradFill>
                              <a:ln>
                                <a:noFill/>
                              </a:ln>
                            </wps:spPr>
                            <wps:bodyPr rot="0" vert="horz" wrap="square" lIns="91440" tIns="45720" rIns="91440" bIns="45720" anchor="t" anchorCtr="0" upright="1">
                              <a:noAutofit/>
                            </wps:bodyPr>
                          </wps:wsp>
                          <wps:wsp>
                            <wps:cNvPr id="9" name="Rectangle 4"/>
                            <wps:cNvSpPr>
                              <a:spLocks noChangeArrowheads="1"/>
                            </wps:cNvSpPr>
                            <wps:spPr bwMode="auto">
                              <a:xfrm>
                                <a:off x="0" y="0"/>
                                <a:ext cx="4290" cy="623"/>
                              </a:xfrm>
                              <a:prstGeom prst="rect">
                                <a:avLst/>
                              </a:prstGeom>
                              <a:solidFill>
                                <a:srgbClr val="FFFFFF">
                                  <a:alpha val="0"/>
                                </a:srgbClr>
                              </a:solidFill>
                              <a:ln>
                                <a:noFill/>
                              </a:ln>
                            </wps:spPr>
                            <wps:txbx>
                              <w:txbxContent>
                                <w:p w14:paraId="37896CFD" w14:textId="77777777" w:rsidR="005163F1" w:rsidRDefault="00000000">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14:paraId="2E26F017" w14:textId="77777777" w:rsidR="005163F1" w:rsidRDefault="00000000">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wps:txbx>
                            <wps:bodyPr rot="0" vert="horz" wrap="square" lIns="91440" tIns="45720" rIns="91440" bIns="45720" anchor="t" anchorCtr="0" upright="1">
                              <a:noAutofit/>
                            </wps:bodyPr>
                          </wps:wsp>
                        </wpg:wgp>
                      </a:graphicData>
                    </a:graphic>
                  </wp:anchor>
                </w:drawing>
              </mc:Choice>
              <mc:Fallback>
                <w:pict>
                  <v:group w14:anchorId="72E0E1D4" id="组合 7" o:spid="_x0000_s1026" style="position:absolute;left:0;text-align:left;margin-left:195.75pt;margin-top:4.75pt;width:225.75pt;height:33.4pt;z-index:251659264" coordsize="451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Dr2QIAANEHAAAOAAAAZHJzL2Uyb0RvYy54bWzUVV1P2zAUfZ+0/2D5faQJaSkVKWKwokls&#10;Q2PTnl3HSaw5tme7Tdmv3/VNWlrYwwTiYX1w/XWvzzk+uT4737SKrIXz0uiCpkcjSoTmppS6Luj3&#10;b4t3U0p8YLpkymhR0Hvh6fn87Zuzzs5EZhqjSuEIJNF+1tmCNiHYWZJ43oiW+SNjhYbFyriWBRi6&#10;Oikd6yB7q5JsNJoknXGldYYL72H2ql+kc8xfVYKHL1XlRSCqoIAtYOuwXcY2mZ+xWe2YbSQfYLBn&#10;oGiZ1HDoLtUVC4ysnHySqpXcGW+qcMRNm5iqklwgB2CTjh6xuXZmZZFLPetqu5MJpH2k07PT8s/r&#10;a2fv7K0DJTpbgxY4ilw2lWvjP6AkG5TsfieZ2ATCYTKbTk5G2ZgSDmt5lqfTQVPegPBPwnjzYQjM&#10;x+kQNZlM4zUk2wOTAxidBWP4B+7+ZdzvGmYFSupnwP3WEVkCC0o0a8GeX8EwTNdKkOOIKR4Ou6I8&#10;UQhvbwz/6Yk2lw3sEhfOma4RrARQKXI4CIgDD6Fk2X0yJWRnq2DQJY+UTcdgTdBvDEKiIbfq5seT&#10;QaQ0R0A7kdjMOh+uhWlJ7BTUAXLMzdY3PvR6brcMxiwXUiniTPghQ4NCxOvERQ8xfYdYA2z6ae/q&#10;5aVyZM3g68kX0/T91XBTtd/fnY7iDzMdhCzwtxcC8OvtUUpqAiLGs4jnTAm4h15E/IoQbDxE6dhq&#10;E8H3tOIMmKQXt7+kpSnvQWjghvmgIEGnMe43JR183AX1v1bMCUrURw30TtM8j9UAB/n4JIOB219Z&#10;7q8wzSFVQQMFwLF7GfoKsrJO1g2clCJ3bS7ggiuJ6kd8PaoBLJi4x/rqbj596uY8XsKBOV/Pzb2X&#10;hzKwc3J2CvOxSEyyFzrZGyV37vib36JfmLIN642LSMB5w1asNAc5/slhYbPcDBr+L2bDQgrvBjIe&#10;3rj4MO2P0ZwPL/H8DwAAAP//AwBQSwMEFAAGAAgAAAAhAEfL697gAAAACAEAAA8AAABkcnMvZG93&#10;bnJldi54bWxMj0FrwkAQhe+F/odlCr3VTZpqNc1GRNqeRKgWxNuYHZNgdjdk1yT++05P7Wl4vMeb&#10;72XL0TSip87XziqIJxEIsoXTtS0VfO8/nuYgfECrsXGWFNzIwzK/v8sw1W6wX9TvQim4xPoUFVQh&#10;tKmUvqjIoJ+4lix7Z9cZDCy7UuoOBy43jXyOopk0WFv+UGFL64qKy+5qFHwOOKyS+L3fXM7r23E/&#10;3R42MSn1+DCu3kAEGsNfGH7xGR1yZjq5q9VeNAqSRTzlqIIFH/bnLwlvOyl4nSUg80z+H5D/AAAA&#10;//8DAFBLAQItABQABgAIAAAAIQC2gziS/gAAAOEBAAATAAAAAAAAAAAAAAAAAAAAAABbQ29udGVu&#10;dF9UeXBlc10ueG1sUEsBAi0AFAAGAAgAAAAhADj9If/WAAAAlAEAAAsAAAAAAAAAAAAAAAAALwEA&#10;AF9yZWxzLy5yZWxzUEsBAi0AFAAGAAgAAAAhAENWQOvZAgAA0QcAAA4AAAAAAAAAAAAAAAAALgIA&#10;AGRycy9lMm9Eb2MueG1sUEsBAi0AFAAGAAgAAAAhAEfL697gAAAACAEAAA8AAAAAAAAAAAAAAAAA&#10;MwUAAGRycy9kb3ducmV2LnhtbFBLBQYAAAAABAAEAPMAAABABgAAAAA=&#10;">
                    <v:rect id="Rectangle 3" o:spid="_x0000_s1027" style="position:absolute;left:150;top:525;width:436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YwwAAANoAAAAPAAAAZHJzL2Rvd25yZXYueG1sRI9BawIx&#10;FITvBf9DeEIvotl6kLoaRQVB6EndQ3t7bJ6b1c3LkqTr+u9NoeBxmJlvmOW6t43oyIfasYKPSQaC&#10;uHS65kpBcd6PP0GEiKyxcUwKHhRgvRq8LTHX7s5H6k6xEgnCIUcFJsY2lzKUhiyGiWuJk3dx3mJM&#10;0ldSe7wnuG3kNMtm0mLNacFgSztD5e30axX47fZ79jX/mTszcuFxrbpiVFyUeh/2mwWISH18hf/b&#10;B61gCn9X0g2QqycAAAD//wMAUEsBAi0AFAAGAAgAAAAhANvh9svuAAAAhQEAABMAAAAAAAAAAAAA&#10;AAAAAAAAAFtDb250ZW50X1R5cGVzXS54bWxQSwECLQAUAAYACAAAACEAWvQsW78AAAAVAQAACwAA&#10;AAAAAAAAAAAAAAAfAQAAX3JlbHMvLnJlbHNQSwECLQAUAAYACAAAACEAyxPyWMMAAADaAAAADwAA&#10;AAAAAAAAAAAAAAAHAgAAZHJzL2Rvd25yZXYueG1sUEsFBgAAAAADAAMAtwAAAPcCAAAAAA==&#10;" fillcolor="#4f81bd" stroked="f">
                      <v:fill angle="90" focus="100%" type="gradient"/>
                    </v:rect>
                    <v:rect id="Rectangle 4" o:spid="_x0000_s1028" style="position:absolute;width:429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Z1wgAAANoAAAAPAAAAZHJzL2Rvd25yZXYueG1sRI9Pi8Iw&#10;FMTvC36H8ARva6rCstZGEbXgHvawVfH6aF7/YPNSmqj125sFweMwM79hklVvGnGjztWWFUzGEQji&#10;3OqaSwXHQ/r5DcJ5ZI2NZVLwIAer5eAjwVjbO//RLfOlCBB2MSqovG9jKV1ekUE3ti1x8ArbGfRB&#10;dqXUHd4D3DRyGkVf0mDNYaHCljYV5ZfsahRk6Un/zs9+drZ9Wu5+ttti1x6UGg379QKEp96/w6/2&#10;XiuYw/+VcAPk8gkAAP//AwBQSwECLQAUAAYACAAAACEA2+H2y+4AAACFAQAAEwAAAAAAAAAAAAAA&#10;AAAAAAAAW0NvbnRlbnRfVHlwZXNdLnhtbFBLAQItABQABgAIAAAAIQBa9CxbvwAAABUBAAALAAAA&#10;AAAAAAAAAAAAAB8BAABfcmVscy8ucmVsc1BLAQItABQABgAIAAAAIQCOvyZ1wgAAANoAAAAPAAAA&#10;AAAAAAAAAAAAAAcCAABkcnMvZG93bnJldi54bWxQSwUGAAAAAAMAAwC3AAAA9gIAAAAA&#10;" stroked="f">
                      <v:fill opacity="0"/>
                      <v:textbox>
                        <w:txbxContent>
                          <w:p w14:paraId="37896CFD" w14:textId="77777777" w:rsidR="005163F1" w:rsidRDefault="00000000">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14:paraId="2E26F017" w14:textId="77777777" w:rsidR="005163F1" w:rsidRDefault="00000000">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v:textbox>
                    </v:rect>
                  </v:group>
                </w:pict>
              </mc:Fallback>
            </mc:AlternateContent>
          </w:r>
        </w:p>
      </w:tc>
    </w:tr>
  </w:tbl>
  <w:p w14:paraId="0703E501" w14:textId="77777777" w:rsidR="005163F1" w:rsidRDefault="005163F1">
    <w:pPr>
      <w:pStyle w:val="a8"/>
      <w:jc w:val="left"/>
      <w:rPr>
        <w:b/>
        <w:i/>
        <w:color w:val="8DB3E2" w:themeColor="accent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HorizontalSpacing w:val="10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gzNTljNzFkODIzODA2YTU0M2FjNWQxMTE3YjVhNDEifQ=="/>
  </w:docVars>
  <w:rsids>
    <w:rsidRoot w:val="00926C0A"/>
    <w:rsid w:val="00011626"/>
    <w:rsid w:val="00012D40"/>
    <w:rsid w:val="0001766E"/>
    <w:rsid w:val="00017F58"/>
    <w:rsid w:val="00032C63"/>
    <w:rsid w:val="0003484E"/>
    <w:rsid w:val="000428AC"/>
    <w:rsid w:val="00042D8A"/>
    <w:rsid w:val="000433D6"/>
    <w:rsid w:val="000442DE"/>
    <w:rsid w:val="00045C18"/>
    <w:rsid w:val="00054152"/>
    <w:rsid w:val="000638EE"/>
    <w:rsid w:val="00064228"/>
    <w:rsid w:val="00085028"/>
    <w:rsid w:val="000911A9"/>
    <w:rsid w:val="000A3BE6"/>
    <w:rsid w:val="000B1704"/>
    <w:rsid w:val="000D2185"/>
    <w:rsid w:val="000D51E5"/>
    <w:rsid w:val="000E593F"/>
    <w:rsid w:val="000F3237"/>
    <w:rsid w:val="000F7E09"/>
    <w:rsid w:val="00106836"/>
    <w:rsid w:val="0012213C"/>
    <w:rsid w:val="00125856"/>
    <w:rsid w:val="00127629"/>
    <w:rsid w:val="00130AF7"/>
    <w:rsid w:val="00137595"/>
    <w:rsid w:val="0015391A"/>
    <w:rsid w:val="00160F76"/>
    <w:rsid w:val="00167987"/>
    <w:rsid w:val="00177BB1"/>
    <w:rsid w:val="001841A0"/>
    <w:rsid w:val="00193FF7"/>
    <w:rsid w:val="001970E9"/>
    <w:rsid w:val="001B6A94"/>
    <w:rsid w:val="001C76BA"/>
    <w:rsid w:val="001D2C31"/>
    <w:rsid w:val="001E1BFD"/>
    <w:rsid w:val="001E5A65"/>
    <w:rsid w:val="001E5C0E"/>
    <w:rsid w:val="001E5DC3"/>
    <w:rsid w:val="001F0394"/>
    <w:rsid w:val="001F4A8D"/>
    <w:rsid w:val="001F71AC"/>
    <w:rsid w:val="0020140F"/>
    <w:rsid w:val="00203004"/>
    <w:rsid w:val="00234A35"/>
    <w:rsid w:val="00243A4C"/>
    <w:rsid w:val="002542C2"/>
    <w:rsid w:val="00255276"/>
    <w:rsid w:val="0025695E"/>
    <w:rsid w:val="00257A51"/>
    <w:rsid w:val="0026065C"/>
    <w:rsid w:val="00265953"/>
    <w:rsid w:val="00272A3A"/>
    <w:rsid w:val="0027326E"/>
    <w:rsid w:val="00274F44"/>
    <w:rsid w:val="002774BB"/>
    <w:rsid w:val="00293F35"/>
    <w:rsid w:val="00295650"/>
    <w:rsid w:val="002A3D3D"/>
    <w:rsid w:val="002B4774"/>
    <w:rsid w:val="002B4B93"/>
    <w:rsid w:val="002B7CC1"/>
    <w:rsid w:val="002C5E34"/>
    <w:rsid w:val="002D0138"/>
    <w:rsid w:val="002D4D61"/>
    <w:rsid w:val="002D5B62"/>
    <w:rsid w:val="002E2551"/>
    <w:rsid w:val="002E337B"/>
    <w:rsid w:val="002E37CF"/>
    <w:rsid w:val="00301DC6"/>
    <w:rsid w:val="00307A70"/>
    <w:rsid w:val="00311894"/>
    <w:rsid w:val="00313957"/>
    <w:rsid w:val="0036105C"/>
    <w:rsid w:val="0036778F"/>
    <w:rsid w:val="00371042"/>
    <w:rsid w:val="00372E40"/>
    <w:rsid w:val="00386AFA"/>
    <w:rsid w:val="003923CE"/>
    <w:rsid w:val="0039463F"/>
    <w:rsid w:val="00397DA8"/>
    <w:rsid w:val="003A2EE2"/>
    <w:rsid w:val="003B03D2"/>
    <w:rsid w:val="003B5C62"/>
    <w:rsid w:val="003C193E"/>
    <w:rsid w:val="003E11DE"/>
    <w:rsid w:val="003E3CAA"/>
    <w:rsid w:val="003F4104"/>
    <w:rsid w:val="003F4457"/>
    <w:rsid w:val="00401350"/>
    <w:rsid w:val="004015EA"/>
    <w:rsid w:val="004023C7"/>
    <w:rsid w:val="004107E0"/>
    <w:rsid w:val="00415AB2"/>
    <w:rsid w:val="00422941"/>
    <w:rsid w:val="00424605"/>
    <w:rsid w:val="00432438"/>
    <w:rsid w:val="00443829"/>
    <w:rsid w:val="00461681"/>
    <w:rsid w:val="00470AA5"/>
    <w:rsid w:val="00480833"/>
    <w:rsid w:val="004835F5"/>
    <w:rsid w:val="00490627"/>
    <w:rsid w:val="004A0CC9"/>
    <w:rsid w:val="004B3EDC"/>
    <w:rsid w:val="004B493F"/>
    <w:rsid w:val="004C6E25"/>
    <w:rsid w:val="004D2958"/>
    <w:rsid w:val="004D43C3"/>
    <w:rsid w:val="004D564F"/>
    <w:rsid w:val="004D58A0"/>
    <w:rsid w:val="004E10D1"/>
    <w:rsid w:val="004E12AC"/>
    <w:rsid w:val="004E5FDD"/>
    <w:rsid w:val="004E61E8"/>
    <w:rsid w:val="004F4F5D"/>
    <w:rsid w:val="004F5236"/>
    <w:rsid w:val="004F7F7B"/>
    <w:rsid w:val="00500B72"/>
    <w:rsid w:val="00500C81"/>
    <w:rsid w:val="005124FE"/>
    <w:rsid w:val="00513EB2"/>
    <w:rsid w:val="005163F1"/>
    <w:rsid w:val="005243D9"/>
    <w:rsid w:val="00532032"/>
    <w:rsid w:val="00532ADF"/>
    <w:rsid w:val="00540E2B"/>
    <w:rsid w:val="005411A5"/>
    <w:rsid w:val="0054348D"/>
    <w:rsid w:val="0054622A"/>
    <w:rsid w:val="00547B43"/>
    <w:rsid w:val="005509A2"/>
    <w:rsid w:val="005548E2"/>
    <w:rsid w:val="00554AAD"/>
    <w:rsid w:val="00564E69"/>
    <w:rsid w:val="0056641B"/>
    <w:rsid w:val="005718C8"/>
    <w:rsid w:val="005732B1"/>
    <w:rsid w:val="00590AAB"/>
    <w:rsid w:val="005953ED"/>
    <w:rsid w:val="00595603"/>
    <w:rsid w:val="00597FB4"/>
    <w:rsid w:val="005A0A98"/>
    <w:rsid w:val="005A5358"/>
    <w:rsid w:val="005A7896"/>
    <w:rsid w:val="005B03B5"/>
    <w:rsid w:val="005C07F7"/>
    <w:rsid w:val="005C3744"/>
    <w:rsid w:val="005C5DBF"/>
    <w:rsid w:val="005D262B"/>
    <w:rsid w:val="005D4FCF"/>
    <w:rsid w:val="005D5303"/>
    <w:rsid w:val="005D7B3A"/>
    <w:rsid w:val="005F2145"/>
    <w:rsid w:val="005F7F78"/>
    <w:rsid w:val="006046D7"/>
    <w:rsid w:val="0061225F"/>
    <w:rsid w:val="006166A7"/>
    <w:rsid w:val="00616F67"/>
    <w:rsid w:val="00622A3B"/>
    <w:rsid w:val="006269F3"/>
    <w:rsid w:val="006366AC"/>
    <w:rsid w:val="00642179"/>
    <w:rsid w:val="00643773"/>
    <w:rsid w:val="006437CF"/>
    <w:rsid w:val="00643BF0"/>
    <w:rsid w:val="00654F1C"/>
    <w:rsid w:val="006558D9"/>
    <w:rsid w:val="006712F7"/>
    <w:rsid w:val="00674F9E"/>
    <w:rsid w:val="006804CF"/>
    <w:rsid w:val="006860E2"/>
    <w:rsid w:val="00686476"/>
    <w:rsid w:val="00687014"/>
    <w:rsid w:val="0069155E"/>
    <w:rsid w:val="00694332"/>
    <w:rsid w:val="00696E97"/>
    <w:rsid w:val="006A11ED"/>
    <w:rsid w:val="006A2BB9"/>
    <w:rsid w:val="006B2786"/>
    <w:rsid w:val="006B325F"/>
    <w:rsid w:val="006B35DB"/>
    <w:rsid w:val="006B3EC8"/>
    <w:rsid w:val="006C0116"/>
    <w:rsid w:val="006C46E0"/>
    <w:rsid w:val="006E4D9D"/>
    <w:rsid w:val="006F1B3D"/>
    <w:rsid w:val="006F29D9"/>
    <w:rsid w:val="006F53A3"/>
    <w:rsid w:val="006F5F1C"/>
    <w:rsid w:val="00722C61"/>
    <w:rsid w:val="00731F48"/>
    <w:rsid w:val="00736301"/>
    <w:rsid w:val="007364BA"/>
    <w:rsid w:val="00737CF3"/>
    <w:rsid w:val="00777E90"/>
    <w:rsid w:val="007A024B"/>
    <w:rsid w:val="007B66EB"/>
    <w:rsid w:val="007C0A00"/>
    <w:rsid w:val="007C1EBA"/>
    <w:rsid w:val="007C3678"/>
    <w:rsid w:val="007E0720"/>
    <w:rsid w:val="007E1224"/>
    <w:rsid w:val="007E7E92"/>
    <w:rsid w:val="007F1515"/>
    <w:rsid w:val="007F2F3E"/>
    <w:rsid w:val="0080044B"/>
    <w:rsid w:val="008107AF"/>
    <w:rsid w:val="00812594"/>
    <w:rsid w:val="008228C2"/>
    <w:rsid w:val="00832876"/>
    <w:rsid w:val="008333E0"/>
    <w:rsid w:val="00852335"/>
    <w:rsid w:val="008534FB"/>
    <w:rsid w:val="0086789A"/>
    <w:rsid w:val="0087102A"/>
    <w:rsid w:val="00876F82"/>
    <w:rsid w:val="0088770E"/>
    <w:rsid w:val="00896CD1"/>
    <w:rsid w:val="008B1B95"/>
    <w:rsid w:val="008B575D"/>
    <w:rsid w:val="008C50B2"/>
    <w:rsid w:val="008D43CB"/>
    <w:rsid w:val="008D6492"/>
    <w:rsid w:val="008E24EB"/>
    <w:rsid w:val="008E46C2"/>
    <w:rsid w:val="008E56E6"/>
    <w:rsid w:val="008F1311"/>
    <w:rsid w:val="008F21FF"/>
    <w:rsid w:val="008F4DDA"/>
    <w:rsid w:val="009107E7"/>
    <w:rsid w:val="009112F5"/>
    <w:rsid w:val="009126F9"/>
    <w:rsid w:val="0091641C"/>
    <w:rsid w:val="00926C0A"/>
    <w:rsid w:val="0093056A"/>
    <w:rsid w:val="0095377D"/>
    <w:rsid w:val="00953DF8"/>
    <w:rsid w:val="009559BA"/>
    <w:rsid w:val="0096254A"/>
    <w:rsid w:val="00965BFA"/>
    <w:rsid w:val="00972B8E"/>
    <w:rsid w:val="00973F15"/>
    <w:rsid w:val="009903D2"/>
    <w:rsid w:val="009906B6"/>
    <w:rsid w:val="009A3E04"/>
    <w:rsid w:val="009A7627"/>
    <w:rsid w:val="009B340D"/>
    <w:rsid w:val="009C4BC3"/>
    <w:rsid w:val="009D428F"/>
    <w:rsid w:val="009E4228"/>
    <w:rsid w:val="009F16A0"/>
    <w:rsid w:val="009F3BF7"/>
    <w:rsid w:val="00A0120F"/>
    <w:rsid w:val="00A1529C"/>
    <w:rsid w:val="00A16334"/>
    <w:rsid w:val="00A178B2"/>
    <w:rsid w:val="00A264AC"/>
    <w:rsid w:val="00A26C27"/>
    <w:rsid w:val="00A411F8"/>
    <w:rsid w:val="00A41800"/>
    <w:rsid w:val="00A4333C"/>
    <w:rsid w:val="00A43A5E"/>
    <w:rsid w:val="00A54E23"/>
    <w:rsid w:val="00A63BF8"/>
    <w:rsid w:val="00A66AD6"/>
    <w:rsid w:val="00A67328"/>
    <w:rsid w:val="00A7186F"/>
    <w:rsid w:val="00A72269"/>
    <w:rsid w:val="00A81466"/>
    <w:rsid w:val="00A85E25"/>
    <w:rsid w:val="00AA2DC3"/>
    <w:rsid w:val="00AA60AC"/>
    <w:rsid w:val="00AB287F"/>
    <w:rsid w:val="00AC0CA8"/>
    <w:rsid w:val="00AC0D78"/>
    <w:rsid w:val="00AC5B01"/>
    <w:rsid w:val="00AD6754"/>
    <w:rsid w:val="00B00A72"/>
    <w:rsid w:val="00B026A1"/>
    <w:rsid w:val="00B05F97"/>
    <w:rsid w:val="00B23737"/>
    <w:rsid w:val="00B44532"/>
    <w:rsid w:val="00B520F5"/>
    <w:rsid w:val="00B53325"/>
    <w:rsid w:val="00B53A66"/>
    <w:rsid w:val="00B55306"/>
    <w:rsid w:val="00B70434"/>
    <w:rsid w:val="00B80276"/>
    <w:rsid w:val="00B80E27"/>
    <w:rsid w:val="00B85585"/>
    <w:rsid w:val="00B90C7F"/>
    <w:rsid w:val="00B92515"/>
    <w:rsid w:val="00B94CF2"/>
    <w:rsid w:val="00BA0D13"/>
    <w:rsid w:val="00BA5F96"/>
    <w:rsid w:val="00BA6BFF"/>
    <w:rsid w:val="00BB4ED9"/>
    <w:rsid w:val="00BC1FB5"/>
    <w:rsid w:val="00BD7135"/>
    <w:rsid w:val="00BE0E72"/>
    <w:rsid w:val="00BE52E8"/>
    <w:rsid w:val="00BF0911"/>
    <w:rsid w:val="00BF2C5D"/>
    <w:rsid w:val="00BF3777"/>
    <w:rsid w:val="00C13B82"/>
    <w:rsid w:val="00C15EA3"/>
    <w:rsid w:val="00C16441"/>
    <w:rsid w:val="00C24977"/>
    <w:rsid w:val="00C2498B"/>
    <w:rsid w:val="00C337EC"/>
    <w:rsid w:val="00C36BE1"/>
    <w:rsid w:val="00C44DF3"/>
    <w:rsid w:val="00C46650"/>
    <w:rsid w:val="00C543F7"/>
    <w:rsid w:val="00C54C3F"/>
    <w:rsid w:val="00C614EE"/>
    <w:rsid w:val="00C76BE6"/>
    <w:rsid w:val="00C839EE"/>
    <w:rsid w:val="00C8552D"/>
    <w:rsid w:val="00C86AAF"/>
    <w:rsid w:val="00C87520"/>
    <w:rsid w:val="00C92200"/>
    <w:rsid w:val="00C92B17"/>
    <w:rsid w:val="00C960EC"/>
    <w:rsid w:val="00CA216B"/>
    <w:rsid w:val="00CC14BC"/>
    <w:rsid w:val="00CC31FF"/>
    <w:rsid w:val="00CC3E1F"/>
    <w:rsid w:val="00CE1A32"/>
    <w:rsid w:val="00CE2C1A"/>
    <w:rsid w:val="00CE2FA8"/>
    <w:rsid w:val="00CE772E"/>
    <w:rsid w:val="00CF0003"/>
    <w:rsid w:val="00CF02F8"/>
    <w:rsid w:val="00CF42FB"/>
    <w:rsid w:val="00CF641B"/>
    <w:rsid w:val="00CF6F93"/>
    <w:rsid w:val="00D04165"/>
    <w:rsid w:val="00D07A95"/>
    <w:rsid w:val="00D12F71"/>
    <w:rsid w:val="00D32292"/>
    <w:rsid w:val="00D328D9"/>
    <w:rsid w:val="00D4306D"/>
    <w:rsid w:val="00D437CE"/>
    <w:rsid w:val="00D52FF1"/>
    <w:rsid w:val="00D55C8A"/>
    <w:rsid w:val="00D57CDC"/>
    <w:rsid w:val="00D810F7"/>
    <w:rsid w:val="00D85575"/>
    <w:rsid w:val="00D90A08"/>
    <w:rsid w:val="00D973EE"/>
    <w:rsid w:val="00D97423"/>
    <w:rsid w:val="00DA0EAE"/>
    <w:rsid w:val="00DA267A"/>
    <w:rsid w:val="00DA3BD4"/>
    <w:rsid w:val="00DA7370"/>
    <w:rsid w:val="00DC0C56"/>
    <w:rsid w:val="00DC3928"/>
    <w:rsid w:val="00DD3C3E"/>
    <w:rsid w:val="00DD7716"/>
    <w:rsid w:val="00DE2EAC"/>
    <w:rsid w:val="00DF3A28"/>
    <w:rsid w:val="00E0770C"/>
    <w:rsid w:val="00E12BF7"/>
    <w:rsid w:val="00E21358"/>
    <w:rsid w:val="00E25C9E"/>
    <w:rsid w:val="00E31A92"/>
    <w:rsid w:val="00E34648"/>
    <w:rsid w:val="00E47613"/>
    <w:rsid w:val="00E56643"/>
    <w:rsid w:val="00E61EFA"/>
    <w:rsid w:val="00E7340C"/>
    <w:rsid w:val="00E73E16"/>
    <w:rsid w:val="00E740A2"/>
    <w:rsid w:val="00E74AC4"/>
    <w:rsid w:val="00E85D3D"/>
    <w:rsid w:val="00EA1FCD"/>
    <w:rsid w:val="00EA4EB5"/>
    <w:rsid w:val="00EA5D50"/>
    <w:rsid w:val="00EB4E0E"/>
    <w:rsid w:val="00EB605F"/>
    <w:rsid w:val="00EB7625"/>
    <w:rsid w:val="00EC070B"/>
    <w:rsid w:val="00EC2C92"/>
    <w:rsid w:val="00EE043B"/>
    <w:rsid w:val="00EE45EF"/>
    <w:rsid w:val="00F029D7"/>
    <w:rsid w:val="00F02DE1"/>
    <w:rsid w:val="00F0538A"/>
    <w:rsid w:val="00F0798F"/>
    <w:rsid w:val="00F10CB3"/>
    <w:rsid w:val="00F11B3F"/>
    <w:rsid w:val="00F123F5"/>
    <w:rsid w:val="00F23328"/>
    <w:rsid w:val="00F238D3"/>
    <w:rsid w:val="00F34788"/>
    <w:rsid w:val="00F405DB"/>
    <w:rsid w:val="00F4159E"/>
    <w:rsid w:val="00F5091D"/>
    <w:rsid w:val="00F52797"/>
    <w:rsid w:val="00F606A4"/>
    <w:rsid w:val="00F828F0"/>
    <w:rsid w:val="00FA5A4E"/>
    <w:rsid w:val="00FB099B"/>
    <w:rsid w:val="00FB2AA4"/>
    <w:rsid w:val="00FB4899"/>
    <w:rsid w:val="00FC0A5D"/>
    <w:rsid w:val="00FC4EAC"/>
    <w:rsid w:val="00FD227D"/>
    <w:rsid w:val="00FD688F"/>
    <w:rsid w:val="00FF0ADC"/>
    <w:rsid w:val="00FF0B3B"/>
    <w:rsid w:val="00FF5EEB"/>
    <w:rsid w:val="01396001"/>
    <w:rsid w:val="013D3BE3"/>
    <w:rsid w:val="01B9418F"/>
    <w:rsid w:val="01CC10DA"/>
    <w:rsid w:val="025B498E"/>
    <w:rsid w:val="029E74F9"/>
    <w:rsid w:val="02A457DF"/>
    <w:rsid w:val="03E11DF3"/>
    <w:rsid w:val="044521BB"/>
    <w:rsid w:val="05486BAC"/>
    <w:rsid w:val="07174748"/>
    <w:rsid w:val="07FC0FC0"/>
    <w:rsid w:val="084049CB"/>
    <w:rsid w:val="08E13F68"/>
    <w:rsid w:val="08EE3D79"/>
    <w:rsid w:val="08FB71B2"/>
    <w:rsid w:val="09136E47"/>
    <w:rsid w:val="0944419A"/>
    <w:rsid w:val="09B0708F"/>
    <w:rsid w:val="0A6119C4"/>
    <w:rsid w:val="0C2836F6"/>
    <w:rsid w:val="0C3B7AF3"/>
    <w:rsid w:val="0C630C6C"/>
    <w:rsid w:val="0D580BD6"/>
    <w:rsid w:val="0EAF5EEB"/>
    <w:rsid w:val="117A4EA6"/>
    <w:rsid w:val="147F4982"/>
    <w:rsid w:val="16CB0B18"/>
    <w:rsid w:val="16E870ED"/>
    <w:rsid w:val="17094697"/>
    <w:rsid w:val="171212DC"/>
    <w:rsid w:val="17446A3D"/>
    <w:rsid w:val="17A00037"/>
    <w:rsid w:val="17BA3B94"/>
    <w:rsid w:val="17FC6FAF"/>
    <w:rsid w:val="198A47D1"/>
    <w:rsid w:val="1A0530BB"/>
    <w:rsid w:val="1C936CA4"/>
    <w:rsid w:val="1CEF1914"/>
    <w:rsid w:val="1DC44B52"/>
    <w:rsid w:val="1E4A2476"/>
    <w:rsid w:val="1F9E56AE"/>
    <w:rsid w:val="1FC85D4A"/>
    <w:rsid w:val="1FD1007D"/>
    <w:rsid w:val="20C51B43"/>
    <w:rsid w:val="211C1792"/>
    <w:rsid w:val="21AD0EBD"/>
    <w:rsid w:val="2245068B"/>
    <w:rsid w:val="237C73F0"/>
    <w:rsid w:val="239D32DB"/>
    <w:rsid w:val="257F3BB0"/>
    <w:rsid w:val="258030A7"/>
    <w:rsid w:val="26B31721"/>
    <w:rsid w:val="2828220B"/>
    <w:rsid w:val="2B4274F5"/>
    <w:rsid w:val="2D307B2A"/>
    <w:rsid w:val="2D6B6306"/>
    <w:rsid w:val="2D8C7224"/>
    <w:rsid w:val="2D9E7284"/>
    <w:rsid w:val="2FE9372A"/>
    <w:rsid w:val="302716D1"/>
    <w:rsid w:val="315328F8"/>
    <w:rsid w:val="341E1C7C"/>
    <w:rsid w:val="35B41FC3"/>
    <w:rsid w:val="35BF7A4C"/>
    <w:rsid w:val="37BF717F"/>
    <w:rsid w:val="39B7627C"/>
    <w:rsid w:val="3B376AA5"/>
    <w:rsid w:val="3B731B57"/>
    <w:rsid w:val="3C5017FE"/>
    <w:rsid w:val="3CD173EE"/>
    <w:rsid w:val="3CF15F9F"/>
    <w:rsid w:val="3D9C41E4"/>
    <w:rsid w:val="3E636BD0"/>
    <w:rsid w:val="3E7405AE"/>
    <w:rsid w:val="3EF44E7F"/>
    <w:rsid w:val="3F6246C0"/>
    <w:rsid w:val="3FE34BA5"/>
    <w:rsid w:val="400C0548"/>
    <w:rsid w:val="413F4B2D"/>
    <w:rsid w:val="42D7414F"/>
    <w:rsid w:val="43610971"/>
    <w:rsid w:val="43CD09A2"/>
    <w:rsid w:val="44617E93"/>
    <w:rsid w:val="44910DBC"/>
    <w:rsid w:val="45453062"/>
    <w:rsid w:val="45CE45D5"/>
    <w:rsid w:val="4620664E"/>
    <w:rsid w:val="46265CA8"/>
    <w:rsid w:val="468C713A"/>
    <w:rsid w:val="47FA78E4"/>
    <w:rsid w:val="47FD0FED"/>
    <w:rsid w:val="4A2D09DD"/>
    <w:rsid w:val="4C0945CB"/>
    <w:rsid w:val="4C5215FA"/>
    <w:rsid w:val="4EE42A5A"/>
    <w:rsid w:val="4FFC1A84"/>
    <w:rsid w:val="50B20C48"/>
    <w:rsid w:val="51EF4863"/>
    <w:rsid w:val="52B27DD8"/>
    <w:rsid w:val="557E71F8"/>
    <w:rsid w:val="55F47DCA"/>
    <w:rsid w:val="57B0161D"/>
    <w:rsid w:val="585C013D"/>
    <w:rsid w:val="591478AE"/>
    <w:rsid w:val="592130AA"/>
    <w:rsid w:val="593352E2"/>
    <w:rsid w:val="597F4F59"/>
    <w:rsid w:val="59E84977"/>
    <w:rsid w:val="5B1F1A4B"/>
    <w:rsid w:val="5E741B57"/>
    <w:rsid w:val="5F56580E"/>
    <w:rsid w:val="5F8B21AC"/>
    <w:rsid w:val="5FC02449"/>
    <w:rsid w:val="60591B3B"/>
    <w:rsid w:val="60BE4856"/>
    <w:rsid w:val="6153220B"/>
    <w:rsid w:val="632027C3"/>
    <w:rsid w:val="642F24A3"/>
    <w:rsid w:val="64EF7C81"/>
    <w:rsid w:val="658F26FD"/>
    <w:rsid w:val="65BB3A1E"/>
    <w:rsid w:val="65BF2118"/>
    <w:rsid w:val="67221EE2"/>
    <w:rsid w:val="676F744B"/>
    <w:rsid w:val="67E36991"/>
    <w:rsid w:val="68BE5F65"/>
    <w:rsid w:val="69366ED6"/>
    <w:rsid w:val="696E64BB"/>
    <w:rsid w:val="6ACB217F"/>
    <w:rsid w:val="6E290AC9"/>
    <w:rsid w:val="6E8729F0"/>
    <w:rsid w:val="6EFF1131"/>
    <w:rsid w:val="70DC6F8F"/>
    <w:rsid w:val="72114E23"/>
    <w:rsid w:val="7303650F"/>
    <w:rsid w:val="73EF2500"/>
    <w:rsid w:val="73FC03F0"/>
    <w:rsid w:val="74163E96"/>
    <w:rsid w:val="75D833A4"/>
    <w:rsid w:val="76D733B7"/>
    <w:rsid w:val="77C94006"/>
    <w:rsid w:val="77D036FE"/>
    <w:rsid w:val="78010125"/>
    <w:rsid w:val="78467052"/>
    <w:rsid w:val="78B92FD8"/>
    <w:rsid w:val="797F0F90"/>
    <w:rsid w:val="7AB5724B"/>
    <w:rsid w:val="7B5E0EF1"/>
    <w:rsid w:val="7C346F3F"/>
    <w:rsid w:val="7C3E2169"/>
    <w:rsid w:val="7D104866"/>
    <w:rsid w:val="7D471CE2"/>
    <w:rsid w:val="7DE07DF2"/>
    <w:rsid w:val="7E18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18653"/>
  <w15:docId w15:val="{45697D44-E54F-49D1-AB2F-901B5CAC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rFonts w:asciiTheme="minorHAnsi" w:eastAsiaTheme="minorEastAsia" w:hAnsiTheme="minorHAnsi" w:cstheme="minorBidi"/>
    </w:rPr>
  </w:style>
  <w:style w:type="paragraph" w:styleId="1">
    <w:name w:val="heading 1"/>
    <w:basedOn w:val="a"/>
    <w:next w:val="a"/>
    <w:link w:val="10"/>
    <w:uiPriority w:val="9"/>
    <w:qFormat/>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4381CF"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8DB3E2"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8DB3E2"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4381CF"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255692" w:themeColor="accent2" w:themeShade="8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aps/>
      <w:sz w:val="16"/>
      <w:szCs w:val="1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ab"/>
    <w:uiPriority w:val="11"/>
    <w:qFormat/>
    <w:pPr>
      <w:spacing w:after="720" w:line="240" w:lineRule="auto"/>
      <w:jc w:val="right"/>
    </w:pPr>
    <w:rPr>
      <w:rFonts w:asciiTheme="majorHAnsi" w:eastAsiaTheme="majorEastAsia" w:hAnsiTheme="majorHAnsi" w:cstheme="majorBidi"/>
      <w:szCs w:val="22"/>
    </w:rPr>
  </w:style>
  <w:style w:type="paragraph" w:styleId="ac">
    <w:name w:val="Title"/>
    <w:basedOn w:val="a"/>
    <w:next w:val="a"/>
    <w:link w:val="ad"/>
    <w:uiPriority w:val="10"/>
    <w:qFormat/>
    <w:pPr>
      <w:pBdr>
        <w:top w:val="single" w:sz="12" w:space="1" w:color="8DB3E2" w:themeColor="accent2"/>
      </w:pBdr>
      <w:spacing w:line="240" w:lineRule="auto"/>
      <w:jc w:val="right"/>
    </w:pPr>
    <w:rPr>
      <w:smallCaps/>
      <w:sz w:val="48"/>
      <w:szCs w:val="48"/>
    </w:rPr>
  </w:style>
  <w:style w:type="character" w:styleId="ae">
    <w:name w:val="Strong"/>
    <w:uiPriority w:val="22"/>
    <w:qFormat/>
    <w:rPr>
      <w:b/>
      <w:color w:val="8DB3E2" w:themeColor="accent2"/>
    </w:rPr>
  </w:style>
  <w:style w:type="character" w:styleId="af">
    <w:name w:val="Emphasis"/>
    <w:uiPriority w:val="20"/>
    <w:qFormat/>
    <w:rPr>
      <w:b/>
      <w:i/>
      <w:spacing w:val="10"/>
    </w:rPr>
  </w:style>
  <w:style w:type="paragraph" w:styleId="af0">
    <w:name w:val="List Paragraph"/>
    <w:basedOn w:val="a"/>
    <w:uiPriority w:val="34"/>
    <w:qFormat/>
    <w:pPr>
      <w:ind w:left="720"/>
      <w:contextualSpacing/>
    </w:p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f1">
    <w:name w:val="Quote"/>
    <w:basedOn w:val="a"/>
    <w:next w:val="a"/>
    <w:link w:val="af2"/>
    <w:uiPriority w:val="29"/>
    <w:qFormat/>
    <w:rPr>
      <w:i/>
    </w:rPr>
  </w:style>
  <w:style w:type="character" w:customStyle="1" w:styleId="af2">
    <w:name w:val="引用 字符"/>
    <w:basedOn w:val="a0"/>
    <w:link w:val="af1"/>
    <w:uiPriority w:val="29"/>
    <w:qFormat/>
    <w:rPr>
      <w:i/>
    </w:rPr>
  </w:style>
  <w:style w:type="character" w:customStyle="1" w:styleId="ad">
    <w:name w:val="标题 字符"/>
    <w:basedOn w:val="a0"/>
    <w:link w:val="ac"/>
    <w:uiPriority w:val="10"/>
    <w:qFormat/>
    <w:rPr>
      <w:smallCaps/>
      <w:sz w:val="48"/>
      <w:szCs w:val="48"/>
    </w:rPr>
  </w:style>
  <w:style w:type="character" w:customStyle="1" w:styleId="10">
    <w:name w:val="标题 1 字符"/>
    <w:basedOn w:val="a0"/>
    <w:link w:val="1"/>
    <w:uiPriority w:val="9"/>
    <w:qFormat/>
    <w:rPr>
      <w:smallCaps/>
      <w:spacing w:val="5"/>
      <w:sz w:val="32"/>
      <w:szCs w:val="32"/>
    </w:rPr>
  </w:style>
  <w:style w:type="character" w:customStyle="1" w:styleId="20">
    <w:name w:val="标题 2 字符"/>
    <w:basedOn w:val="a0"/>
    <w:link w:val="2"/>
    <w:uiPriority w:val="9"/>
    <w:semiHidden/>
    <w:qFormat/>
    <w:rPr>
      <w:smallCaps/>
      <w:spacing w:val="5"/>
      <w:sz w:val="28"/>
      <w:szCs w:val="28"/>
    </w:rPr>
  </w:style>
  <w:style w:type="character" w:customStyle="1" w:styleId="30">
    <w:name w:val="标题 3 字符"/>
    <w:basedOn w:val="a0"/>
    <w:link w:val="3"/>
    <w:uiPriority w:val="9"/>
    <w:semiHidden/>
    <w:qFormat/>
    <w:rPr>
      <w:smallCaps/>
      <w:spacing w:val="5"/>
      <w:sz w:val="24"/>
      <w:szCs w:val="24"/>
    </w:rPr>
  </w:style>
  <w:style w:type="character" w:customStyle="1" w:styleId="40">
    <w:name w:val="标题 4 字符"/>
    <w:basedOn w:val="a0"/>
    <w:link w:val="4"/>
    <w:uiPriority w:val="9"/>
    <w:semiHidden/>
    <w:qFormat/>
    <w:rPr>
      <w:smallCaps/>
      <w:spacing w:val="10"/>
      <w:sz w:val="22"/>
      <w:szCs w:val="22"/>
    </w:rPr>
  </w:style>
  <w:style w:type="character" w:customStyle="1" w:styleId="50">
    <w:name w:val="标题 5 字符"/>
    <w:basedOn w:val="a0"/>
    <w:link w:val="5"/>
    <w:uiPriority w:val="9"/>
    <w:semiHidden/>
    <w:qFormat/>
    <w:rPr>
      <w:smallCaps/>
      <w:color w:val="4381CF" w:themeColor="accent2" w:themeShade="BF"/>
      <w:spacing w:val="10"/>
      <w:sz w:val="22"/>
      <w:szCs w:val="26"/>
    </w:rPr>
  </w:style>
  <w:style w:type="character" w:customStyle="1" w:styleId="60">
    <w:name w:val="标题 6 字符"/>
    <w:basedOn w:val="a0"/>
    <w:link w:val="6"/>
    <w:uiPriority w:val="9"/>
    <w:semiHidden/>
    <w:qFormat/>
    <w:rPr>
      <w:smallCaps/>
      <w:color w:val="8DB3E2" w:themeColor="accent2"/>
      <w:spacing w:val="5"/>
      <w:sz w:val="22"/>
    </w:rPr>
  </w:style>
  <w:style w:type="character" w:customStyle="1" w:styleId="70">
    <w:name w:val="标题 7 字符"/>
    <w:basedOn w:val="a0"/>
    <w:link w:val="7"/>
    <w:uiPriority w:val="9"/>
    <w:semiHidden/>
    <w:qFormat/>
    <w:rPr>
      <w:b/>
      <w:smallCaps/>
      <w:color w:val="8DB3E2" w:themeColor="accent2"/>
      <w:spacing w:val="10"/>
    </w:rPr>
  </w:style>
  <w:style w:type="character" w:customStyle="1" w:styleId="80">
    <w:name w:val="标题 8 字符"/>
    <w:basedOn w:val="a0"/>
    <w:link w:val="8"/>
    <w:uiPriority w:val="9"/>
    <w:semiHidden/>
    <w:qFormat/>
    <w:rPr>
      <w:b/>
      <w:i/>
      <w:smallCaps/>
      <w:color w:val="4381CF" w:themeColor="accent2" w:themeShade="BF"/>
    </w:rPr>
  </w:style>
  <w:style w:type="character" w:customStyle="1" w:styleId="90">
    <w:name w:val="标题 9 字符"/>
    <w:basedOn w:val="a0"/>
    <w:link w:val="9"/>
    <w:uiPriority w:val="9"/>
    <w:semiHidden/>
    <w:qFormat/>
    <w:rPr>
      <w:b/>
      <w:i/>
      <w:smallCaps/>
      <w:color w:val="255692" w:themeColor="accent2" w:themeShade="80"/>
    </w:rPr>
  </w:style>
  <w:style w:type="character" w:customStyle="1" w:styleId="ab">
    <w:name w:val="副标题 字符"/>
    <w:basedOn w:val="a0"/>
    <w:link w:val="aa"/>
    <w:uiPriority w:val="11"/>
    <w:qFormat/>
    <w:rPr>
      <w:rFonts w:asciiTheme="majorHAnsi" w:eastAsiaTheme="majorEastAsia" w:hAnsiTheme="majorHAnsi" w:cstheme="majorBidi"/>
      <w:szCs w:val="22"/>
    </w:rPr>
  </w:style>
  <w:style w:type="paragraph" w:styleId="af3">
    <w:name w:val="No Spacing"/>
    <w:basedOn w:val="a"/>
    <w:link w:val="af4"/>
    <w:uiPriority w:val="1"/>
    <w:qFormat/>
    <w:pPr>
      <w:spacing w:after="0" w:line="240" w:lineRule="auto"/>
    </w:pPr>
  </w:style>
  <w:style w:type="paragraph" w:styleId="af5">
    <w:name w:val="Intense Quote"/>
    <w:basedOn w:val="a"/>
    <w:next w:val="a"/>
    <w:link w:val="af6"/>
    <w:uiPriority w:val="30"/>
    <w:qFormat/>
    <w:pPr>
      <w:pBdr>
        <w:top w:val="single" w:sz="8" w:space="10" w:color="4381CF" w:themeColor="accent2" w:themeShade="BF"/>
        <w:left w:val="single" w:sz="8" w:space="10" w:color="4381CF" w:themeColor="accent2" w:themeShade="BF"/>
        <w:bottom w:val="single" w:sz="8" w:space="10" w:color="4381CF" w:themeColor="accent2" w:themeShade="BF"/>
        <w:right w:val="single" w:sz="8" w:space="10" w:color="4381CF" w:themeColor="accent2" w:themeShade="BF"/>
      </w:pBdr>
      <w:shd w:val="clear" w:color="auto" w:fill="8DB3E2" w:themeFill="accent2"/>
      <w:spacing w:before="140" w:after="140"/>
      <w:ind w:left="1440" w:right="1440"/>
    </w:pPr>
    <w:rPr>
      <w:b/>
      <w:i/>
      <w:color w:val="112845" w:themeColor="background1"/>
    </w:rPr>
  </w:style>
  <w:style w:type="character" w:customStyle="1" w:styleId="af6">
    <w:name w:val="明显引用 字符"/>
    <w:basedOn w:val="a0"/>
    <w:link w:val="af5"/>
    <w:uiPriority w:val="30"/>
    <w:qFormat/>
    <w:rPr>
      <w:b/>
      <w:i/>
      <w:color w:val="112845" w:themeColor="background1"/>
      <w:shd w:val="clear" w:color="auto" w:fill="8DB3E2" w:themeFill="accent2"/>
    </w:rPr>
  </w:style>
  <w:style w:type="character" w:customStyle="1" w:styleId="11">
    <w:name w:val="不明显强调1"/>
    <w:uiPriority w:val="19"/>
    <w:qFormat/>
    <w:rPr>
      <w:rFonts w:asciiTheme="majorHAnsi" w:eastAsiaTheme="majorEastAsia" w:hAnsiTheme="majorHAnsi" w:cstheme="majorBidi"/>
      <w:i/>
      <w:iCs/>
      <w:color w:val="8DB3E2" w:themeColor="accent2"/>
    </w:rPr>
  </w:style>
  <w:style w:type="character" w:customStyle="1" w:styleId="12">
    <w:name w:val="明显强调1"/>
    <w:uiPriority w:val="21"/>
    <w:qFormat/>
    <w:rPr>
      <w:rFonts w:asciiTheme="majorHAnsi" w:eastAsiaTheme="majorEastAsia" w:hAnsiTheme="majorHAnsi" w:cstheme="majorBidi"/>
      <w:b/>
      <w:bCs/>
      <w:i/>
      <w:iCs/>
      <w:color w:val="112845" w:themeColor="background1"/>
      <w:bdr w:val="single" w:sz="18" w:space="0" w:color="8DB3E2" w:themeColor="accent2"/>
      <w:shd w:val="clear" w:color="auto" w:fill="8DB3E2" w:themeFill="accent2"/>
      <w:vertAlign w:val="baseline"/>
    </w:rPr>
  </w:style>
  <w:style w:type="character" w:customStyle="1" w:styleId="13">
    <w:name w:val="不明显参考1"/>
    <w:uiPriority w:val="31"/>
    <w:qFormat/>
    <w:rPr>
      <w:i/>
      <w:iCs/>
      <w:smallCaps/>
      <w:color w:val="8DB3E2" w:themeColor="accent2"/>
      <w:u w:color="8DB3E2" w:themeColor="accent2"/>
    </w:rPr>
  </w:style>
  <w:style w:type="character" w:customStyle="1" w:styleId="14">
    <w:name w:val="明显参考1"/>
    <w:uiPriority w:val="32"/>
    <w:qFormat/>
    <w:rPr>
      <w:b/>
      <w:bCs/>
      <w:i/>
      <w:iCs/>
      <w:smallCaps/>
      <w:color w:val="8DB3E2" w:themeColor="accent2"/>
      <w:u w:color="8DB3E2" w:themeColor="accent2"/>
    </w:rPr>
  </w:style>
  <w:style w:type="character" w:customStyle="1" w:styleId="15">
    <w:name w:val="书籍标题1"/>
    <w:uiPriority w:val="33"/>
    <w:qFormat/>
    <w:rPr>
      <w:rFonts w:asciiTheme="majorHAnsi" w:eastAsiaTheme="majorEastAsia" w:hAnsiTheme="majorHAnsi" w:cstheme="majorBidi"/>
      <w:b/>
      <w:bCs/>
      <w:i/>
      <w:iCs/>
      <w:smallCaps/>
      <w:color w:val="4381CF" w:themeColor="accent2" w:themeShade="BF"/>
      <w:u w:val="single"/>
    </w:rPr>
  </w:style>
  <w:style w:type="paragraph" w:customStyle="1" w:styleId="TOC1">
    <w:name w:val="TOC 标题1"/>
    <w:basedOn w:val="1"/>
    <w:next w:val="a"/>
    <w:uiPriority w:val="39"/>
    <w:semiHidden/>
    <w:unhideWhenUsed/>
    <w:qFormat/>
    <w:pPr>
      <w:outlineLvl w:val="9"/>
    </w:pPr>
    <w:rPr>
      <w:lang w:bidi="en-US"/>
    </w:rPr>
  </w:style>
  <w:style w:type="paragraph" w:customStyle="1" w:styleId="Default">
    <w:name w:val="Default"/>
    <w:qFormat/>
    <w:pPr>
      <w:widowControl w:val="0"/>
      <w:autoSpaceDE w:val="0"/>
      <w:autoSpaceDN w:val="0"/>
      <w:adjustRightInd w:val="0"/>
      <w:spacing w:after="200" w:line="276" w:lineRule="auto"/>
      <w:jc w:val="both"/>
    </w:pPr>
    <w:rPr>
      <w:rFonts w:ascii="楷体_GB2312" w:eastAsia="楷体_GB2312" w:cs="楷体_GB2312"/>
      <w:color w:val="000000"/>
      <w:sz w:val="24"/>
      <w:szCs w:val="24"/>
    </w:rPr>
  </w:style>
  <w:style w:type="character" w:customStyle="1" w:styleId="af4">
    <w:name w:val="无间隔 字符"/>
    <w:basedOn w:val="a0"/>
    <w:link w:val="af3"/>
    <w:uiPriority w:val="1"/>
    <w:qFormat/>
  </w:style>
  <w:style w:type="character" w:customStyle="1" w:styleId="21">
    <w:name w:val="不明显强调2"/>
    <w:uiPriority w:val="19"/>
    <w:qFormat/>
    <w:rPr>
      <w:i/>
    </w:rPr>
  </w:style>
  <w:style w:type="character" w:customStyle="1" w:styleId="22">
    <w:name w:val="明显强调2"/>
    <w:uiPriority w:val="21"/>
    <w:qFormat/>
    <w:rPr>
      <w:b/>
      <w:i/>
      <w:color w:val="8DB3E2" w:themeColor="accent2"/>
      <w:spacing w:val="10"/>
    </w:rPr>
  </w:style>
  <w:style w:type="character" w:customStyle="1" w:styleId="23">
    <w:name w:val="不明显参考2"/>
    <w:uiPriority w:val="31"/>
    <w:qFormat/>
    <w:rPr>
      <w:b/>
    </w:rPr>
  </w:style>
  <w:style w:type="character" w:customStyle="1" w:styleId="24">
    <w:name w:val="明显参考2"/>
    <w:uiPriority w:val="32"/>
    <w:qFormat/>
    <w:rPr>
      <w:b/>
      <w:bCs/>
      <w:smallCaps/>
      <w:spacing w:val="5"/>
      <w:sz w:val="22"/>
      <w:szCs w:val="22"/>
      <w:u w:val="single"/>
    </w:rPr>
  </w:style>
  <w:style w:type="character" w:customStyle="1" w:styleId="25">
    <w:name w:val="书籍标题2"/>
    <w:uiPriority w:val="33"/>
    <w:qFormat/>
    <w:rPr>
      <w:rFonts w:asciiTheme="majorHAnsi" w:eastAsiaTheme="majorEastAsia" w:hAnsiTheme="majorHAnsi" w:cstheme="majorBidi"/>
      <w:i/>
      <w:iCs/>
      <w:sz w:val="20"/>
      <w:szCs w:val="20"/>
    </w:rPr>
  </w:style>
  <w:style w:type="paragraph" w:customStyle="1" w:styleId="TOC2">
    <w:name w:val="TOC 标题2"/>
    <w:basedOn w:val="1"/>
    <w:next w:val="a"/>
    <w:uiPriority w:val="39"/>
    <w:semiHidden/>
    <w:unhideWhenUsed/>
    <w:qFormat/>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自定义 8">
      <a:dk1>
        <a:srgbClr val="DBE5F1"/>
      </a:dk1>
      <a:lt1>
        <a:srgbClr val="112845"/>
      </a:lt1>
      <a:dk2>
        <a:srgbClr val="DBE5F1"/>
      </a:dk2>
      <a:lt2>
        <a:srgbClr val="EEECE1"/>
      </a:lt2>
      <a:accent1>
        <a:srgbClr val="DBE5F1"/>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E8A68-E53C-4D60-8412-E1053339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12</Pages>
  <Words>1224</Words>
  <Characters>6983</Characters>
  <Application>Microsoft Office Word</Application>
  <DocSecurity>0</DocSecurity>
  <Lines>58</Lines>
  <Paragraphs>16</Paragraphs>
  <ScaleCrop>false</ScaleCrop>
  <Company>微软中国</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研究咨询</cp:lastModifiedBy>
  <cp:revision>64</cp:revision>
  <cp:lastPrinted>2022-08-01T09:42:00Z</cp:lastPrinted>
  <dcterms:created xsi:type="dcterms:W3CDTF">2022-07-07T09:32:00Z</dcterms:created>
  <dcterms:modified xsi:type="dcterms:W3CDTF">2022-08-03T09:40:00Z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735AC744EED34CC6B5E8591495EC95FA</vt:lpwstr>
  </property>
</Properties>
</file>