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2022/6/7</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ind w:firstLine="480"/>
        <w:jc w:val="left"/>
        <w:rPr>
          <w:rFonts w:hint="default" w:ascii="仿宋" w:hAnsi="仿宋" w:eastAsia="仿宋" w:cs="仿宋"/>
          <w:sz w:val="24"/>
          <w:szCs w:val="28"/>
        </w:rPr>
      </w:pPr>
      <w:r>
        <w:rPr>
          <w:rFonts w:hint="default" w:ascii="仿宋" w:hAnsi="仿宋" w:eastAsia="仿宋" w:cs="仿宋"/>
          <w:sz w:val="24"/>
          <w:szCs w:val="28"/>
        </w:rPr>
        <w:t>国内期货主力合约多数下跌。燃料油跌近3%，沪锌、菜粕跌超1%，豆粕、豆二、豆一跌近1%。涨幅方面，沪铅、玻璃、PTA涨超1%。</w:t>
      </w:r>
    </w:p>
    <w:p>
      <w:pPr>
        <w:spacing w:after="120" w:line="288" w:lineRule="auto"/>
        <w:ind w:firstLine="480"/>
        <w:jc w:val="left"/>
        <w:rPr>
          <w:rFonts w:ascii="微软雅黑" w:hAnsi="微软雅黑" w:eastAsia="微软雅黑" w:cs="Calibri"/>
          <w:b/>
          <w:smallCaps/>
          <w:color w:val="112845"/>
          <w:sz w:val="32"/>
          <w:szCs w:val="36"/>
        </w:rPr>
      </w:pPr>
      <w:r>
        <w:rPr>
          <w:rFonts w:hint="default" w:ascii="仿宋" w:hAnsi="仿宋" w:eastAsia="仿宋" w:cs="仿宋"/>
          <w:sz w:val="24"/>
          <w:szCs w:val="28"/>
        </w:rPr>
        <w:t>国外期货涨跌一览。CBOT大豆涨0.24%，CBOT玉米涨2.20%，CBOT豆油跌0.81%，CBOT豆粕跌0.07%，CBOT小麦涨5.48%。；伦铜涨2.56%，伦铝涨2.31%，伦锌涨0.22%，伦铅涨2.24%，伦镍涨4.91%。</w:t>
      </w:r>
    </w:p>
    <w:p>
      <w:pPr>
        <w:spacing w:after="120" w:line="288" w:lineRule="auto"/>
        <w:ind w:firstLine="480"/>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numPr>
          <w:ilvl w:val="0"/>
          <w:numId w:val="0"/>
        </w:numPr>
        <w:spacing w:after="120" w:line="288" w:lineRule="auto"/>
        <w:ind w:leftChars="0"/>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上海：全市进入全面恢复正常生产生活秩序阶段，疫情反弹风险依然存在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上海市疫情防控新闻发布会通报，当前，上海进入全面恢复正常生产生活秩序阶段，但疫情形势仍然严峻复杂，疫情反弹风险依然存在，“降新增、防反弹”任务仍然艰巨。（一财）</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北京已连续三天无新增社会面病例，疫情防控形势持续巩固向好态势</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今天（6月6日），北京市召开第357场新冠肺炎疫情防控工作新闻发布会。发布会上，北京市政府新闻发言人徐和建表示，昨日北京新增本土确诊病例数下降至个位数，全市已连续三天无新增社会面病例，北京疫情防控形势持续巩固向好态势，疫情防控取得阶段性成果。我们要倍加珍惜，保持清醒头脑，继续毫不动摇、全面推进动态清零行动，严格落实“四方责任”，严防反弹风险，全力以赴推进扫尾清零，坚决守护人民群众生命安全和身体健康，确保首都安全。（央视新闻）</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大商所：拓展已上市期货品种均价结算现金合约，加快温度指数等指数衍生品研发</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大商所于今年4月进一步面向全体会员单位开展了意见建议征集工作。在品种工具创新方面，大商所将多措并举推进豆一、豆二和豆油期权上市，推进集装箱运力、干辣椒、再生钢铁原料、纯苯、硫磺、乙醇等期货品种上市及东北亚原油、茶油、原木、冰醋酸、石油焦等期货品种研发，拓展已上市期货品种均价结算现金合约，加快温度指数等指数衍生品研发，丰富产品工具体系。</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广期所：期货及期权交易每周设5个交易日，分为夜盘和日盘交易时段</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广州期货交易所发布《广州期货交易所交易管理办法》等12项业务规则。其中提到，</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期货及期权交易每周设5个交易日（遇国家法定假日除外），每一个交易日分为夜盘和日盘交易时段，夜盘交易设一个夜盘交易小节，具体交易时间由交易所另行通知；日盘交易分三个交易小节，分别为第一节9：00-10：15、第二节10：30-11：30和第三节13：30-15：00。开展夜盘交易的品种由交易所另行公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个人客户应当符合以下标准：具有累计不少于10个交易日且20笔及以上的境内交易场所的期货合约或者期权合约仿真交易成交记录；或者近三年内具有10笔及以上的境内交易场所的期货合约、期权合约或者集中清算的其他衍生品交易成交记录；或者近三年内具有10笔及以上的认可境外成交记录；申请开立交易编码或者开通交易权限前连续5个交易日保证金账户可用资金余额均不低于人民币10万元或者等值外币。</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澳洲巴西19港铁矿发运总量2077.7万吨，环比减少399.5万吨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30日—6月5日Mysteel澳洲巴西19港铁矿发运总量2077.7万吨，环比减少399.5万吨。澳洲发运量1350.5万吨，环比减少536.0万吨，其中澳洲发往中国的量1220.6万吨，环比减少196.6万吨。巴西发运量727.2万吨，环比增加136.5万吨。全球铁矿石发运总量2682.9万吨，环比减少344.2万吨。（Mysteel）</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中国45港铁矿石到港总量2205.2万吨，环比减少8.1万吨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5月30日—6月5日中国47港到港总量2276.0万吨，环比减少20.5万吨；中国45港到港总量2205.2万吨，环比减少8.1万吨；北方六港到港总量为1130.8万吨，环比增加165.0万吨。（Mysteel）</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内蒙古：到2025年 全区80%以上的钢铁产能完成超低排放改造</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内蒙古自治区人民政府发布《关于印发自治区“十四五”节能减排综合工作实施方案》的通知。《方案》提出，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重点行业绿色升级工程。以化工、钢铁、有色、建材、焦化、煤化工等高耗能高排放行业为重点，全面推进节能改造和污染物深度治理，制定节能技术改造实施方案，组织实施重大节能减排项目。推进钢铁、水泥、焦化行业及燃煤锅炉超低排放改造，到2025年，全区80%以上的钢铁产能完成超低排放改造，重点区域保留的燃煤锅炉以及其他地区65蒸吨/小时及以上燃煤锅炉（含电力）全面实现超低排放。</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到2025年，完成煤电机组节能改造2000万千瓦、灵活性改造3000万千瓦；推进包头市、呼和浩特市、乌兰察布市、巴彦淖尔市等清洁供暖示范城市建设，推进“气化内蒙古”行动，内蒙古西部地区基本实现管道天然气“县县通气”、东部地区实现管道天然气“市市通气”；全区煤炭消费比重降至75%以下，非化石能源占能源消费比重达到18%左右。</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印度首都发布黄色高温预警 最高气温达47摄氏度</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印度报业托斯拉通讯社6日报道，印度首都新德里当天发布高温黄色预警，德里多地郊区将出现高温热浪。5日，德里已有6个地区气温高达45摄氏度。据新德里气象台报告，该市5日最低气温为44.2摄氏度，最高气温达47.3摄氏度，出现在西北部芒格什布尔地区。</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马来西亚庄园主协会：严重的劳动力短缺将导致产量损失</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马来西亚庄园主协会（MEOA）周一称，马来西亚正错过利用棕榈油价格高企获利的黄金机会，由于约12万工人的严重短缺，其可能遭受更多棕榈油产量损失。去年9月，马来西亚批准为棕榈树种植园招聘3.2万名移民工人，但由于许可证拖延，这些外国劳工尚未进入该国。MEOA称，若劳动力不立即进入，今年马来西亚棕榈油1860万吨的产量预期或将再下调。印尼上周因程序问题，取消了派遣其公民到马来西亚棕榈油种植园工作的计划。据悉，外籍工人大多来自印尼，通常占马来西亚庄园劳动力的80%左右。</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美国对华大豆出口检验量占比减少，总出口检验量环比减少</w:t>
      </w: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农业部数据显示，截至2022年6月2日当周，美国大豆出口检验量为350416吨，前一周修正后为403617吨，初值为378262吨。2021年6月3日当周，美国大豆出口检验量为239384吨。本作物年度迄今，美国大豆出口检验量累计为49852901吨，上一年度同期56907092吨。美国对中国（大陆地区）装运13466吨大豆。前一周美国对中国大陆装运63585吨大豆。当周美国对华大豆出口检验量占到该周出口检验总量的3.84%，上周是16.81%。</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hint="eastAsia" w:ascii="仿宋" w:hAnsi="仿宋" w:eastAsia="仿宋" w:cs="仿宋"/>
          <w:sz w:val="24"/>
          <w:szCs w:val="28"/>
        </w:rPr>
      </w:pPr>
    </w:p>
    <w:p>
      <w:pPr>
        <w:numPr>
          <w:ilvl w:val="0"/>
          <w:numId w:val="1"/>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印度5月份黄金进口量激增数倍，原因是黄金价格在关键节日前出现回调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昨日一名政府消息人士称，印度5月进口了101吨黄金，同比增长677%，达到一年来最高水平，而去年同期为13吨，进口额从上年同期的6.78亿美元飙升至58.3亿美元。原因是在关键的节日和婚礼旺季之前，金价的回调推动了珠宝零售购买量。印度是全球第二大黄金消费国，进口增加可能支撑基准金价，但金价大涨可能增加印度贸易逆差，并对疲弱的卢比构成压力。5月份，当地黄金期货跌至每10克49572卢比，为近三个月来新低。交易商表示，印度6月黄金进口量可能降至60吨以下，因近期金价反弹，需求已开始下滑。</w:t>
      </w:r>
    </w:p>
    <w:p>
      <w:pPr>
        <w:spacing w:after="120" w:line="288" w:lineRule="auto"/>
        <w:jc w:val="center"/>
        <w:rPr>
          <w:rFonts w:hint="eastAsia" w:ascii="仿宋" w:hAnsi="仿宋" w:eastAsia="仿宋" w:cs="仿宋"/>
          <w:sz w:val="24"/>
          <w:szCs w:val="28"/>
        </w:rPr>
      </w:pPr>
    </w:p>
    <w:p>
      <w:pPr>
        <w:spacing w:after="120" w:line="288" w:lineRule="auto"/>
        <w:jc w:val="center"/>
        <w:rPr>
          <w:rFonts w:hint="eastAsia" w:ascii="仿宋" w:hAnsi="仿宋" w:eastAsia="仿宋" w:cs="仿宋"/>
          <w:sz w:val="24"/>
          <w:szCs w:val="28"/>
        </w:rPr>
      </w:pP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2"/>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1、银保监会印发《关于引导金融资产管理公司聚焦主业积极参与中小金融机构 改革化险的指导意见》，进一步促进金融资产管理公司回归本源、专注主业，在中小金融机构改革化险中发挥积极作用。文件强调，严禁资产管理公司通过结构设计隐匿真实风险和不良资产“假出表”，严防国有资产流失。严禁资产管理公司直接出资持有风险金融机构股权，防止因处置风险产生新的风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2022年第二次金砖国家财长和央行行长会议召开，会议就宏观经济形势和政策协调、新开发银行、基础设施投资、金砖财金智库网络、完善金砖应急储备安排（CRA）、转型金融等议题进行了讨论，并同意继续在支付、金融领域信息安全等领域开展交流。</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中国银行业协会发布《主动加强金融服务全面助力稳住经济的倡议书》提出，信贷投放靠前发力，会员单位应及时满足因疫情暂时遇困行业企业的合理、有效信贷需求，深入推进银担合作、银保合作，加强与政府性融资担保机构的合作，努力实现住宿、餐饮、零售、文化、旅游、交通运输等受疫情影响严重行业信贷余额持续稳步增长。</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国支付清算协会发布《关于助力稳住经济的倡议书》，倡议各会员单位进一步提高政治站位，切实履行企业职责，提升金融服务质效，助力稳住经济大盘。倡议做好非接支付产品和服务的开发，协助发放消费券、优惠券等，协助拓展消费新业态，推广数字人民币新场景。</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杭州市调整住房公积金政策，加大住房公积金支持租房提取力度，缴存人可按月提取住房公积金账户余额，提取限额按现有标准上浮25%确定，具体为：杭州市区为1500元/月，桐庐县为1050元/月，淳安县为750元/月，建德市为600元/月。</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贵州省明确有序推进房地产开发投资项目建设。积极采取货币化安置+奖励的方式推进棚户区改造，带动住房改善和房地产发展。落实降低首付比例政策，创新使用公积金对商业贷款进行贴息，取消两次住房公积金贷款须间隔12个月及以上的限制，提升消费信心和购买力。确保房地产开发投资上半年完成1400亿元，全年完成3300亿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沈阳市政府宣布，将于6月11日-17日举办房交会，预计参展楼盘超过200个。本次房交会期间，对个人购买参展楼盘新建商品住房的，给予全额契税补贴；如各区、县（市）出台本地区购房优惠政策，购房人同时享受。</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河北秦皇岛：单缴职工贷款额度上限由40万元调整为60万元，双缴职工家庭贷款额度上限由60万元调整为80万元；首次公积金贷款结清后，再次申请首付比例由不低于60%调整为不低于30%；购买新房可提取父母公积金。</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5、河北唐山：6月15日起，缴存职工购买首套和第二套自住住房的，住房公积金贷款最低首付款比例均由不低于30%调整为不低于20%。</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我国5G商用三年来，已经进入规模化应用关键期。截至目前，开通5G基站161.5万个，5G网络覆盖全国所有地市、县城城区和87%的乡镇镇区，5G移动电话用户总数超4.13亿户。“5G+工业互联网”在建项目2400个，5G应用案例超过2万个。</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国物流与采购联合会数据显示，5月中国快递物流指数为99.3%，环比升6.4个百分点。5月全国保通保畅持续取得成效，产业链供应链持续疏通，在诸多积极因素带动下，快递物流指数各业务量指数均有所回升，但整体指数仍位于100%以下，从商务快递反映当前经济运行态势有所回补，但经济基础和市场需求还需进一步巩固提升。</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深圳出台《关于发展壮大战略性新兴产业集群和培育发展未来产业的意见》，提出半导体与集成电路、工业母机、智能机器人等20个战略性新兴产业发展重点细分领域，以及合成生物、区块链等8个未来产业重点发展方向。文件提出，到2025年，战略性新兴产业增加值超过1.5万亿元，成为推动经济社会高质量发展的主引擎。</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据证券时报，上海本地的多数汽车产业链相关企业已陆续复工复产；受益于此，今年5月，国内汽车产销量也随之恢复；兴业证券分析称，各地复工复产稳步推进，且中央地方密集出台汽车消费支持政策，有望促进后续终端汽车消费，判断汽车板块下半年有望实现景气反转。</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5、俄罗斯汽车行业分析机构Autostat发布消息表示，中国品牌汽车在俄罗斯市场的占有率继续攀高，2022年5月达到了16.9%，同比增长150%。</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英国下议院保守党议员针对该党党首、英国首相鲍里斯·约翰逊进行不信任投票。最终，359名保守党议员中有148人投票希望约翰逊下台，未达到通过不信任动议所需要的180票；211名保守党议员在表决中支持约翰逊。因此，约翰逊将继续担任英国保守党党首和英国首相。而约翰逊赢得此次投票也意味着在未来12个月之内不会再面临不信任投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2、美国白宫宣布，将对泰国、马来西亚、柬埔寨、越南等东南亚四国的光伏电池板免征24个月关税。白宫表示，美国有望在2024年之前将其太阳能发电能力提高两倍。</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日本央行行长黑田东彦表示，日本经济仍处于从疫情复苏的过程，并面临商品价格上涨的下行压力。在这种情况下，货币紧缩根本不是一个合适的措施。当务之急是继续坚持货币宽松。必须在工资上涨和物价上涨之间建立良性经济循环。</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多名日本政府相关人士透露，日本政府已基本决定在参院选举后汇总新的经济对策，今秋编制大规模补充预算。其中拟写入岸田政权的增长与分配战略“新资本主义”的主要政策、追加物价高涨对策。补充预算在现阶段设想的是逾10万亿日元规模。</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热门中概股普遍上涨，亚洲时代涨22.73%，富途控股涨18.56%，老虎证券涨17.44%，新蛋涨17.18%，蘑菇街涨13.76%，声网涨12.9%，爱奇艺涨12.59%；跌幅方面，奇点未来跌15.56%，再鼎医药跌11.71%，多尼斯跌10.34%，天美生物跌9.65%。中概新能源汽车股集体上涨，蔚来汽车涨6.03%，小鹏汽车涨5.13%，理想汽车涨10.91%。</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2、特斯拉中国官网显示，特斯拉Model 3后轮驱动版预计交付日期为20至24周，高性能版预计交付日期为16至20周。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3、消息称全球电视龙头大厂三星电子第2季采购面板订单大砍3成，约莫从1300万片降至900万片，同时也带动其他电视品牌厂有不同程度的砍单，让面板降价难以抵挡。</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4、星巴克创始人兼临时CEO Howard Schultz表示，公司的下一任CEO仅考虑外部候选人。星巴克最近与几位潜在的CEO人选进行了会谈，目标在秋季确定新的CEO。</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5、ASML表示，为支持中国业务的增长，今年将持续扩大中国团队，计划招聘200余名员工。</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6、苹果发布IOS 16，苹果表示IOS 16将拥有新的智能化、个性化设置，并且IOS 16将更新锁屏。苹果还升级Apple Watch的操作系统至OS 9。同时，苹果推出适用于Mac的新款M2芯片。</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国内商品期货夜盘收盘涨跌不一，能源化工品表现分化，PTA涨1.67%，玻璃涨1.39%，燃油跌2.82%。黑色系涨跌互现，焦炭涨0.4%，动力煤涨0.37%，焦煤涨0.24%，螺纹钢跌0.25%，热卷跌0.37%。农产品涨跌不一，棉纱涨0.92%，白糖涨0.66%，菜粕跌1.2%，豆粕跌0.84%。</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广州期货交易所发布《广州期货交易所交易管理办法》《广州期货交易所期货交易者适当性管理办法》《广州期货交易所境外特殊参与者管理办法》等12项业务规则。《适当性管理办法》提出，申请开立交易编码或者开通交易权限前连续5个交易日保证金账户可用资金余额均不低于人民币10万元或者等值外币。《交易管理办法》提出，期货及期权交易每周设5个交易日（遇国家法定假日除外），每一个交易日分为夜盘和日盘交易时段，夜盘交易设一个夜盘交易小节，具体交易时间由交易所另行通知；日盘交易分三个交易小节，分别为第一节9:00-10:15、第二节10:30-11:30和第三节13:30-15:00。</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大商所扎实开展市场意见建议征集和落实工作，多措并举推进豆一、豆二和豆油期权上市，推进集装箱运力、干辣椒、再生钢铁原料、纯苯、硫磺、乙醇等期货品种上市及东北亚原油、茶油、原木、冰醋酸、石油焦等期货品种研发，拓展已上市期货品种均价结算现金合约，加快温度指数等指数衍生品研发，丰富产品工具体系。</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4、香港交易所发布公告称，Elliott Associates，L.P. 及Elliott International，L. P. 拟挑战有关实行及维持取消伦敦金属交易所于3月8日英国时间00:00或之后执行的镍合约交易的决定，声称有关决定根据公法属不合法，索赔金额为4.56亿美元。LME管理层认为该申索毫无法律依据，LME将积极抗辩。</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消息人士称，印度正寻求加大从俄罗斯进口石油的力度，国有炼油企业渴望从俄罗斯石油公司获得更多大幅折价的石油供应。印度国有炼油企业正在共同努力，敲定并确保俄罗斯向印度提供原油的六个月新供应合同。</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德国雇主协会联合会和奥地利工业联合会领导人在一份联合声明中警告，立即“封杀”俄罗斯天然气将影响德国和奥地利经济、就业以及国际金融义务，引发涨价、制造业下滑和生产停滞。在5月底的欧盟特别峰会上，与会领导人就制裁俄罗斯石油达成一致，但德国、奥地利等国坚决反对立即把禁止进口俄罗斯天然气提上议程。</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多名知情人士披露，两家欧洲能源企业可能最快下月开始向欧洲运输委内瑞拉石油，恢复两年前因美国政府加码制裁委内瑞拉而叫停的“石油抵债”项目，以期填补西方对俄罗斯原油禁运所致供应缺口。美国国务院上月发函同意意大利埃尼公司和西班牙莱普索尔公司恢复往欧洲运输委内瑞拉石油。</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越南黄金交易商协会副会长黄仲庆表示，该协会正与越南国家银行合作，探讨建立一个全国性的黄金交易所。该交易所将设在河内或胡志明市，并将在越南国家银行的管理和监督下，以上海黄金交易所的模式为模板运作。</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9、印度5月进口101吨黄金，同比增长677%，达到一年来最高水平，进口额从上年同期的6.78亿美元飙升至58.3亿美元。</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10、据中国基金报，牧原股份、温氏股份先后发布5月份生猪销售简报，5月商品猪售价环比上涨超18%，生猪期货也连日上涨；业内人士指出，目前猪周期反转开启，后周期配置启动。</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11、波罗的海干散货指数跌2.77%，报2560点。</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债券</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债市综述】风险偏好回升，银行间主要利率债收益率普遍上行，中短券弱势尤甚收益率上行3-6bp；国债期货全线收跌，10年期主力合约跌0.14%，5年期主力合约跌0.11%；银行间资金面继续宽松无虞，主要回购利率稳中小幅上行；地产债多数上涨，“21碧地03”和“20世茂G3”涨超5%。</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中证转债指数收盘涨0.69%，成交额1560.42亿元；华锋转债涨超28%，中矿转债涨超23%，两只债券均盘中临停；斯莱转债涨超17%，铂科转债涨超16%，石英转债涨近13%，阿拉转债涨近10%，飞鹿转债和蓝晓转债均涨逾8%；泰林转债跌超8%，山石转债跌超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3、财政部2022年将在香港特别行政区发行230亿元人民币国债，将分四期发行，规模分别为75亿元、50亿元、55亿元、50亿元。为庆祝香港特别行政区回归25周年，定于6月15日发行首期人民币国债。</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4、中证协就修订《非公开发行公司债券项目承接负面清单指引》征求意见，券商需于6月17日下班前报送反馈意见。征求意见稿调整了对特殊行业或类型发行人的承接限制， 将存在超过净资产10%的金额重大投资项目逾期或违约等明显减值情形且未足额计提减值准备的以金融类投资为主业的控股公司、地方资产管理公司纳入负面清单。完善房地产企业项目纳入负面清单的情形——在现有规则基础上，增加“资产负债结构明显不合理，流动性压力较大、杠杆水平过高和偿债能力不足，或存在重大负面舆情或风险事件的房地产公司”的限制性承接要求。</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5、交易商协会开展转型债券相关创新试点，应对气候变化目标，支持传统行业绿色低碳转型。转型债券募集资金应专项用于企业的低碳转型领域，重点推动传统行业转型升级。</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6、交易商协会副秘书长曹媛媛表示，截至2021年末绿色债券市场存量规模达1.13万亿元，累计发行规模位居全球第二。后续将持续加强评估认证机构执业检查工作，强化交叉检查等制度建设，规范评估认证机构行为。此外，适时启动发布《中国绿色债券原则》，推动国内绿色债券市场标准统一，高质量、高标准加强国内绿色债券市场建设。</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7、债券通发布月度运行报告显示，5月债券通交投活跃，日均交易量达355亿元人民币，月度成交6750亿元人民币，同比增长33%。国债和政策性金融债交易最为活跃，分别占月度交易量的51%和35%。债券通对东南亚市场的吸引力与日俱增。</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8、欧洲央行拟将加强承诺以支持脆弱的欧元区债券市场。预计25位管理委员会成员中的许多人本周将支持一项提议，即在必要时制定新的债券购买计划，以应对意大利等成员国借贷成本失控的局面。</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9、【债券重大事件】武汉当代科技：“19汉当科PPN002”违约，或触发其他境内债券的相关条款；华夏控股及下属子公司累计未能如期偿还债务金额合计603.61亿元；惠誉上调佳源国际控股长期外币发行人评级至“CC”；穆迪出于商业原因，撤销中梁控股“Caa2”企业家族评级；当代置业境外重组取得重大进展，将在未来几个月内最终完成；苏宁易购完成“18苏宁03”和“18苏宁07”购回，涉资3450.81万元；“19台州金融MTN001”票面利率由4.65%下调至1.00%； “19仙居国资MTN001”票面利率由5.50%下调至1.00%。</w:t>
      </w:r>
    </w:p>
    <w:p>
      <w:pPr>
        <w:keepNext w:val="0"/>
        <w:keepLines w:val="0"/>
        <w:widowControl/>
        <w:numPr>
          <w:ilvl w:val="0"/>
          <w:numId w:val="3"/>
        </w:numPr>
        <w:suppressLineNumbers w:val="0"/>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keepNext w:val="0"/>
        <w:keepLines w:val="0"/>
        <w:widowControl/>
        <w:suppressLineNumbers w:val="0"/>
        <w:jc w:val="left"/>
        <w:rPr>
          <w:rFonts w:hint="eastAsia" w:ascii="仿宋" w:hAnsi="仿宋" w:eastAsia="仿宋" w:cs="仿宋"/>
          <w:sz w:val="24"/>
          <w:szCs w:val="28"/>
        </w:rPr>
      </w:pP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1、周一人民币兑美元中间价报6.6691，调升404个基点。在岸人民币兑美元16:30收盘报6.6457，较上一交易日涨293个基点；夜盘收报6.6544，较上一交易日夜盘涨56个基点。交易员表示，中国经济复苏预期令人民币短线走高，不过后续仍需关注数据表现。</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2、上周三大人民币汇率指数全线走低。外汇交易中心数据显示，6月2日，CFETS人民币汇率指数报100.69，按周跌0.11；BIS货币篮子人民币汇率指数报105.46，按周跌0.1；SDR货币篮子人民币汇率指数报99.22，按周跌0.07。</w:t>
      </w:r>
    </w:p>
    <w:p>
      <w:pPr>
        <w:keepNext w:val="0"/>
        <w:keepLines w:val="0"/>
        <w:widowControl/>
        <w:suppressLineNumbers w:val="0"/>
        <w:jc w:val="left"/>
        <w:rPr>
          <w:rFonts w:hint="eastAsia" w:ascii="仿宋" w:hAnsi="仿宋" w:eastAsia="仿宋" w:cs="仿宋"/>
          <w:sz w:val="24"/>
          <w:szCs w:val="28"/>
        </w:rPr>
      </w:pPr>
      <w:r>
        <w:rPr>
          <w:rFonts w:hint="eastAsia" w:ascii="仿宋" w:hAnsi="仿宋" w:eastAsia="仿宋" w:cs="仿宋"/>
          <w:sz w:val="24"/>
          <w:szCs w:val="28"/>
        </w:rPr>
        <w:t>3、香港证监会发文提示非同质化代币（NFT）相关风险，称NFT与其他虚拟资产一样面对较高的风险，包括二手市场流通性不足、价格波动、定价欠缺透明度、遭黑客入侵及欺诈的风险。香港证监会指出，有些NFT跨越了收藏品与金融资产之间的界线，如某NFT构成了集体投资计划下的权益，推广或分销NFT便可能构成“受规管活动”。</w:t>
      </w:r>
    </w:p>
    <w:p>
      <w:pPr>
        <w:keepNext w:val="0"/>
        <w:keepLines w:val="0"/>
        <w:widowControl/>
        <w:suppressLineNumbers w:val="0"/>
        <w:jc w:val="left"/>
      </w:pPr>
    </w:p>
    <w:p>
      <w:pPr>
        <w:keepNext w:val="0"/>
        <w:keepLines w:val="0"/>
        <w:widowControl/>
        <w:suppressLineNumbers w:val="0"/>
        <w:jc w:val="left"/>
      </w:pPr>
    </w:p>
    <w:p>
      <w:pPr>
        <w:spacing w:after="120" w:line="288" w:lineRule="auto"/>
        <w:jc w:val="left"/>
        <w:rPr>
          <w:rFonts w:hint="eastAsia" w:ascii="仿宋" w:hAnsi="仿宋" w:eastAsia="仿宋" w:cs="仿宋"/>
          <w:sz w:val="24"/>
          <w:szCs w:val="28"/>
        </w:rPr>
      </w:pPr>
    </w:p>
    <w:p>
      <w:pPr>
        <w:keepNext w:val="0"/>
        <w:keepLines w:val="0"/>
        <w:widowControl/>
        <w:suppressLineNumbers w:val="0"/>
        <w:jc w:val="left"/>
      </w:pPr>
      <w:bookmarkStart w:id="0" w:name="_GoBack"/>
      <w:r>
        <w:rPr>
          <w:rFonts w:ascii="Microsoft YaHei" w:hAnsi="Microsoft YaHei" w:eastAsia="Microsoft YaHei" w:cs="Microsoft YaHei"/>
          <w:b w:val="0"/>
          <w:i w:val="0"/>
          <w:caps w:val="0"/>
          <w:color w:val="333333"/>
          <w:spacing w:val="0"/>
          <w:kern w:val="0"/>
          <w:sz w:val="32"/>
          <w:szCs w:val="32"/>
          <w:u w:val="none"/>
          <w:bdr w:val="none" w:color="auto" w:sz="0" w:space="0"/>
          <w:lang w:val="en-US" w:eastAsia="zh-CN" w:bidi="ar"/>
        </w:rPr>
        <w:drawing>
          <wp:inline distT="0" distB="0" distL="114300" distR="114300">
            <wp:extent cx="5342890" cy="8799195"/>
            <wp:effectExtent l="0" t="0" r="16510" b="1460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342890" cy="8799195"/>
                    </a:xfrm>
                    <a:prstGeom prst="rect">
                      <a:avLst/>
                    </a:prstGeom>
                    <a:noFill/>
                    <a:ln w="9525">
                      <a:noFill/>
                    </a:ln>
                  </pic:spPr>
                </pic:pic>
              </a:graphicData>
            </a:graphic>
          </wp:inline>
        </w:drawing>
      </w:r>
      <w:bookmarkEnd w:id="0"/>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9E9633"/>
    <w:multiLevelType w:val="singleLevel"/>
    <w:tmpl w:val="629E9633"/>
    <w:lvl w:ilvl="0" w:tentative="0">
      <w:start w:val="1"/>
      <w:numFmt w:val="bullet"/>
      <w:lvlText w:val=""/>
      <w:lvlJc w:val="left"/>
      <w:pPr>
        <w:ind w:left="420" w:leftChars="0" w:hanging="420" w:firstLineChars="0"/>
      </w:pPr>
      <w:rPr>
        <w:rFonts w:hint="default" w:ascii="Wingdings" w:hAnsi="Wingdings"/>
      </w:rPr>
    </w:lvl>
  </w:abstractNum>
  <w:abstractNum w:abstractNumId="2">
    <w:nsid w:val="629E96FA"/>
    <w:multiLevelType w:val="singleLevel"/>
    <w:tmpl w:val="629E96FA"/>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1DF93E7B"/>
    <w:rsid w:val="1F6ED227"/>
    <w:rsid w:val="2EFF9C5B"/>
    <w:rsid w:val="2FB63C32"/>
    <w:rsid w:val="30AFF083"/>
    <w:rsid w:val="378F7ACD"/>
    <w:rsid w:val="37D77E59"/>
    <w:rsid w:val="5DEFECEF"/>
    <w:rsid w:val="5F7ED7DA"/>
    <w:rsid w:val="657D161F"/>
    <w:rsid w:val="67E4651E"/>
    <w:rsid w:val="6E573CCA"/>
    <w:rsid w:val="6F3F6644"/>
    <w:rsid w:val="6FBD827A"/>
    <w:rsid w:val="6FF3D9E0"/>
    <w:rsid w:val="76DF05C7"/>
    <w:rsid w:val="7AEBE989"/>
    <w:rsid w:val="7DFE235B"/>
    <w:rsid w:val="7EB740AD"/>
    <w:rsid w:val="7FB765BD"/>
    <w:rsid w:val="7FD59CB2"/>
    <w:rsid w:val="7FEF5DAA"/>
    <w:rsid w:val="7FFF9902"/>
    <w:rsid w:val="8F7D39A9"/>
    <w:rsid w:val="937C7D1B"/>
    <w:rsid w:val="AEF7D5D5"/>
    <w:rsid w:val="B3FF25F0"/>
    <w:rsid w:val="B7EB2313"/>
    <w:rsid w:val="B7F17ECC"/>
    <w:rsid w:val="D13D348E"/>
    <w:rsid w:val="DBBF15FC"/>
    <w:rsid w:val="DDFFD333"/>
    <w:rsid w:val="EF3E958F"/>
    <w:rsid w:val="EFFF22C8"/>
    <w:rsid w:val="F7FFDF52"/>
    <w:rsid w:val="F99FC0A2"/>
    <w:rsid w:val="F9CF77D7"/>
    <w:rsid w:val="FEDD926B"/>
    <w:rsid w:val="FEF7D7CD"/>
    <w:rsid w:val="FFFC0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8147</Words>
  <Characters>9044</Characters>
  <Lines>71</Lines>
  <Paragraphs>19</Paragraphs>
  <ScaleCrop>false</ScaleCrop>
  <LinksUpToDate>false</LinksUpToDate>
  <CharactersWithSpaces>9107</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2022-05-12T01:31:00Z</dcterms:created>
  <dc:creator>Administrator</dc:creator>
  <cp:lastModifiedBy>apple</cp:lastModifiedBy>
  <cp:lastPrinted>2022-05-12T01:36:00Z</cp:lastPrinted>
  <dcterms:modified xsi:type="dcterms:W3CDTF">2022-06-07T08:05:06Z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