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rFonts w:ascii="微软雅黑" w:hAnsi="微软雅黑" w:eastAsia="微软雅黑" w:cs="Calibri"/>
          <w:sz w:val="22"/>
          <w:szCs w:val="24"/>
        </w:rPr>
      </w:pPr>
      <w:bookmarkStart w:id="0" w:name="_GoBack"/>
      <w:bookmarkEnd w:id="0"/>
      <w:r>
        <w:rPr>
          <w:rFonts w:ascii="微软雅黑" w:hAnsi="微软雅黑" w:eastAsia="微软雅黑" w:cs="Calibri"/>
          <w:b/>
          <w:color w:val="112845"/>
          <w:sz w:val="44"/>
        </w:rPr>
        <w:t>资讯早间报</w:t>
      </w:r>
      <w:r>
        <w:rPr>
          <w:rFonts w:ascii="微软雅黑" w:hAnsi="微软雅黑" w:eastAsia="微软雅黑" w:cs="Calibri"/>
          <w:sz w:val="22"/>
          <w:szCs w:val="24"/>
        </w:rPr>
        <w:t xml:space="preserve">                                            </w:t>
      </w:r>
    </w:p>
    <w:p>
      <w:pPr>
        <w:pStyle w:val="16"/>
        <w:rPr>
          <w:rFonts w:ascii="微软雅黑" w:hAnsi="微软雅黑" w:eastAsia="微软雅黑" w:cs="Calibri"/>
          <w:b/>
          <w:i/>
          <w:sz w:val="22"/>
          <w:szCs w:val="24"/>
        </w:rPr>
      </w:pPr>
      <w:r>
        <w:rPr>
          <w:rFonts w:ascii="微软雅黑" w:hAnsi="微软雅黑" w:eastAsia="微软雅黑" w:cs="Calibri"/>
          <w:b/>
          <w:sz w:val="22"/>
          <w:szCs w:val="24"/>
        </w:rPr>
        <w:t xml:space="preserve">冠通研究 </w:t>
      </w:r>
      <w:r>
        <w:rPr>
          <w:rFonts w:ascii="微软雅黑" w:hAnsi="微软雅黑" w:eastAsia="微软雅黑" w:cs="Calibri"/>
          <w:b/>
          <w:sz w:val="22"/>
          <w:szCs w:val="24"/>
        </w:rPr>
        <w:fldChar w:fldCharType="begin"/>
      </w:r>
      <w:r>
        <w:rPr>
          <w:rFonts w:ascii="微软雅黑" w:hAnsi="微软雅黑" w:eastAsia="微软雅黑" w:cs="Calibri"/>
          <w:b/>
          <w:sz w:val="22"/>
          <w:szCs w:val="24"/>
        </w:rPr>
        <w:instrText xml:space="preserve"> </w:instrText>
      </w:r>
      <w:r>
        <w:rPr>
          <w:rFonts w:hint="eastAsia" w:ascii="微软雅黑" w:hAnsi="微软雅黑" w:eastAsia="微软雅黑" w:cs="Calibri"/>
          <w:b/>
          <w:sz w:val="22"/>
          <w:szCs w:val="24"/>
        </w:rPr>
        <w:instrText xml:space="preserve">TIME \@ "yyyy/M/d"</w:instrText>
      </w:r>
      <w:r>
        <w:rPr>
          <w:rFonts w:ascii="微软雅黑" w:hAnsi="微软雅黑" w:eastAsia="微软雅黑" w:cs="Calibri"/>
          <w:b/>
          <w:sz w:val="22"/>
          <w:szCs w:val="24"/>
        </w:rPr>
        <w:instrText xml:space="preserve"> </w:instrText>
      </w:r>
      <w:r>
        <w:rPr>
          <w:rFonts w:ascii="微软雅黑" w:hAnsi="微软雅黑" w:eastAsia="微软雅黑" w:cs="Calibri"/>
          <w:b/>
          <w:sz w:val="22"/>
          <w:szCs w:val="24"/>
        </w:rPr>
        <w:fldChar w:fldCharType="separate"/>
      </w:r>
      <w:r>
        <w:rPr>
          <w:rFonts w:hint="eastAsia" w:ascii="微软雅黑" w:hAnsi="微软雅黑" w:eastAsia="微软雅黑" w:cs="Calibri"/>
          <w:b/>
          <w:sz w:val="22"/>
          <w:szCs w:val="24"/>
        </w:rPr>
        <w:t>2022/6/2</w:t>
      </w:r>
      <w:r>
        <w:rPr>
          <w:rFonts w:ascii="微软雅黑" w:hAnsi="微软雅黑" w:eastAsia="微软雅黑" w:cs="Calibri"/>
          <w:b/>
          <w:sz w:val="22"/>
          <w:szCs w:val="24"/>
        </w:rPr>
        <w:fldChar w:fldCharType="end"/>
      </w:r>
    </w:p>
    <w:p>
      <w:pPr>
        <w:jc w:val="center"/>
        <w:rPr>
          <w:rFonts w:ascii="微软雅黑" w:hAnsi="微软雅黑" w:eastAsia="微软雅黑" w:cs="Calibri"/>
          <w:b/>
          <w:sz w:val="22"/>
          <w:szCs w:val="24"/>
          <w:u w:val="single"/>
        </w:rPr>
      </w:pPr>
    </w:p>
    <w:p>
      <w:pPr>
        <w:spacing w:after="120" w:line="288" w:lineRule="auto"/>
        <w:jc w:val="center"/>
        <w:rPr>
          <w:rFonts w:hint="eastAsia" w:ascii="微软雅黑" w:hAnsi="微软雅黑" w:eastAsia="微软雅黑" w:cs="Calibri"/>
          <w:b/>
          <w:smallCaps/>
          <w:color w:val="112845"/>
          <w:sz w:val="32"/>
          <w:szCs w:val="36"/>
          <w:lang w:val="en-US" w:eastAsia="zh-Hans"/>
        </w:rPr>
      </w:pPr>
      <w:r>
        <w:rPr>
          <w:rFonts w:hint="eastAsia" w:ascii="微软雅黑" w:hAnsi="微软雅黑" w:eastAsia="微软雅黑" w:cs="Calibri"/>
          <w:b/>
          <w:smallCaps/>
          <w:color w:val="112845"/>
          <w:sz w:val="32"/>
          <w:szCs w:val="36"/>
          <w:lang w:val="en-US" w:eastAsia="zh-Hans"/>
        </w:rPr>
        <w:t>市场走势</w:t>
      </w:r>
    </w:p>
    <w:p>
      <w:pPr>
        <w:spacing w:after="120" w:line="288" w:lineRule="auto"/>
        <w:ind w:firstLine="480"/>
        <w:jc w:val="left"/>
        <w:rPr>
          <w:rFonts w:hint="default" w:ascii="仿宋" w:hAnsi="仿宋" w:eastAsia="仿宋" w:cs="仿宋"/>
          <w:sz w:val="24"/>
          <w:szCs w:val="28"/>
        </w:rPr>
      </w:pPr>
      <w:r>
        <w:rPr>
          <w:rFonts w:hint="default" w:ascii="仿宋" w:hAnsi="仿宋" w:eastAsia="仿宋" w:cs="仿宋"/>
          <w:sz w:val="24"/>
          <w:szCs w:val="28"/>
        </w:rPr>
        <w:t xml:space="preserve"> 国际期货主力合约涨跌不一。CBOT大豆涨0.36%，CBOT玉米跌3.19%，CBOT豆油涨0.39%，CBOT豆粕跌0.51%，CBOT小麦跌4.23%。LME金属方面，伦铜涨0.77%，伦铝跌2.26%，伦锌跌1.05%，伦铅跌1.24%，伦镍跌0.43%。</w:t>
      </w:r>
    </w:p>
    <w:p>
      <w:pPr>
        <w:spacing w:after="120" w:line="288" w:lineRule="auto"/>
        <w:ind w:firstLine="480"/>
        <w:jc w:val="left"/>
        <w:rPr>
          <w:rFonts w:hint="default" w:ascii="仿宋" w:hAnsi="仿宋" w:eastAsia="仿宋" w:cs="仿宋"/>
          <w:sz w:val="24"/>
          <w:szCs w:val="28"/>
        </w:rPr>
      </w:pPr>
      <w:r>
        <w:rPr>
          <w:rFonts w:hint="default" w:ascii="仿宋" w:hAnsi="仿宋" w:eastAsia="仿宋" w:cs="仿宋"/>
          <w:sz w:val="24"/>
          <w:szCs w:val="28"/>
        </w:rPr>
        <w:t>国内期货主力合约互有涨跌。纸浆、铁矿石涨超2%，沪镍、沥青、焦炭涨超1%。跌幅方面，液化石油气（LPG）跌超2%，短纤、棉纱、PTA、菜粕跌超1%。</w:t>
      </w:r>
    </w:p>
    <w:p>
      <w:pPr>
        <w:spacing w:after="120" w:line="288" w:lineRule="auto"/>
        <w:ind w:firstLine="480"/>
        <w:jc w:val="center"/>
        <w:rPr>
          <w:rFonts w:ascii="微软雅黑" w:hAnsi="微软雅黑" w:eastAsia="微软雅黑" w:cs="Calibri"/>
          <w:b/>
          <w:smallCaps/>
          <w:color w:val="112845"/>
          <w:sz w:val="32"/>
          <w:szCs w:val="36"/>
        </w:rPr>
      </w:pPr>
    </w:p>
    <w:p>
      <w:pPr>
        <w:spacing w:after="120" w:line="288" w:lineRule="auto"/>
        <w:ind w:firstLine="480"/>
        <w:jc w:val="center"/>
        <w:rPr>
          <w:rFonts w:ascii="微软雅黑" w:hAnsi="微软雅黑" w:eastAsia="微软雅黑" w:cs="Calibri"/>
          <w:b/>
          <w:smallCaps/>
          <w:color w:val="112845"/>
          <w:sz w:val="32"/>
          <w:szCs w:val="36"/>
        </w:rPr>
      </w:pPr>
      <w:r>
        <w:rPr>
          <w:rFonts w:ascii="微软雅黑" w:hAnsi="微软雅黑" w:eastAsia="微软雅黑" w:cs="Calibri"/>
          <w:b/>
          <w:smallCaps/>
          <w:color w:val="112845"/>
          <w:sz w:val="32"/>
          <w:szCs w:val="36"/>
        </w:rPr>
        <w:t>重要资讯</w:t>
      </w:r>
    </w:p>
    <w:p>
      <w:pPr>
        <w:spacing w:after="120" w:line="288" w:lineRule="auto"/>
        <w:jc w:val="center"/>
        <w:rPr>
          <w:rFonts w:ascii="仿宋" w:hAnsi="仿宋" w:eastAsia="仿宋" w:cs="仿宋"/>
          <w:b/>
          <w:bCs/>
          <w:sz w:val="24"/>
          <w:szCs w:val="28"/>
        </w:rPr>
      </w:pPr>
      <w:r>
        <w:rPr>
          <w:rFonts w:hint="eastAsia" w:ascii="仿宋" w:hAnsi="仿宋" w:eastAsia="仿宋" w:cs="仿宋"/>
          <w:b/>
          <w:bCs/>
          <w:sz w:val="24"/>
          <w:szCs w:val="28"/>
        </w:rPr>
        <w:t>【宏观资讯】</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李克强：部署加快稳经济一揽子政策措施落地生效</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李克强主持召开国务院常务会议，部署加快稳经济一揽子政策措施落地生效，让市场主体和人民群众应知尽知应享尽享。会议指出，下一步，要对政策再作全面筛查、细化实化，让市场主体和人民群众应知尽知、应享尽享。新增1400多亿元留抵退税，要在7月份退到位。对金融支持基础设施建设，要调增政策性银行8000亿元信贷额度。</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发改委等九部门：目标到2025年，可再生能源发电量增量在全社会用电量增量中的占比超过50%</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发改委等九部门印发“十四五”可再生能源发展规划，目标到2025年，可再生能源年发电量达到3.3万亿千瓦时左右。“十四五”期间，可再生能源发电量增量在全社会用电量增量中的占比超过50%，风电和太阳能发电量实现翻倍。到2025年，地热能供暖、生物质供热、生物质燃料、太阳能热利用等非电利用规模达到6000万吨标准煤以上。展望2035年，我国将基本实现社会主义现代化，碳排放达峰后稳中有降，在2030年非化石能源消费占比达到25%左右和风电、太阳能发电总装机容量达到12亿千瓦以上的基础上，上述指标均进一步提高。</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 xml:space="preserve">广东 ：积极争取国家支持在我省建设煤炭、油气、铁矿石、粮食等大宗商品储运基地 </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广东省政府网站1日发布《广东省贯彻落实国务院〈扎实稳住经济的一揽子政策措施〉实施方案》。《实施方案》提出，积极争取国家支持在我省建设煤炭、油气、铁矿石、粮食等大宗商品储运基地。支持深圳建立农产品离岸现货交易平台。进一步加快农产品供应链体系建设，完善农产品流通骨干网络，加快推进广东供销公共型农产品冷链物流基础设施骨干网、放心农产品直供配送网建设。</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 xml:space="preserve">中国5月财新制造业PMI已连续三个月处于收缩区间 </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6月1日发布的财新中国制造业采购经理指数（PMI）录得48.1，较上月回升2.1个百分点，但已连续三个月处于收缩区间。这表明，多地散发疫情对经济的负面影响仍在持续，但幅度较上月边际减小。</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财新智库高级经济学家王喆表示，2022年5月，多地局部疫情持续，制造业景气度边际出现改善但仍位于收缩区间。需求、供给均在荣枯线之下，且影响逐渐传导至就业端；供应链受阻、物流时间延长等问题未能得到彻底改善；成本端和收费端价格的分化进一步挤压了企业的盈利空间。</w:t>
      </w: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美联储褐皮书：12个联邦储备地区都报告了持续的经济增长</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美联储经济状况褐皮书显示，所有12个联邦储备地区都报告了持续的经济增长，大多数地区显示略有或温和增长；四个地区显示经济温和增长。</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【黑色系期货】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部分大型煤炭企业经济运行分析视频会召开</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5月31日，中国煤炭工业协会、中国煤炭运销协会组织召开部分大型煤炭企业经济运行分析视频会议。会议认为，今年以来，煤炭行业积极贯彻国家各项保供稳价政策，实现了煤炭资源超预期增长和煤炭价格的相对稳定。重点煤炭企业讲政治、顾大局，主动带头执行限价政策，全力完成中长期合同签订、履约和进口煤补签任务。据统计，十六家大型煤炭企业1—4月合同履约率达到98%，超额完成国家指标，为煤炭市场的平稳运行做出了贡献。（中国煤炭运销协会）</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广州19家主流仓库建筑钢材库存量周环比降0.8万吨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据市场统计，截止至6月1日，本周广州19家主流仓库建筑钢材库存98.5万吨，较上周降0.8万吨，较去年同期降22.2万吨；其中螺纹钢库存61.6万吨，较上周增0.6万吨，较去年同期降15.0万吨；线材（盘螺）36.9万吨，较上周降1.4万吨，较去年同期降7.2万吨。</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6月1日钢谷网中西部&amp;全国钢材库存调研统计</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①全国建材：社库1067.06万吨，较上周减少21.75万吨，下降2.00%；厂库591.37万吨，较上周增加2.53万吨，上升0.43%；产量479.05万吨，较上周增加3.94万吨，上升0.83%；</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②中西部建材：社库370.79万吨，较上周减少13.79万吨，下降3.59%；厂库250.29万吨，较上周减少1.24万吨，下降0.49%；产量176.23万吨，较上周增加2.42万吨，上升1.39%。</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找钢网库存分析：去库加速，表需走高</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①建材产量393.11万吨，周环比减1.99万吨，降0.50%；年同比减50.49万吨，降11.38%。</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②建材厂库465.74万吨，周环比减12.59万吨，降2.63%；年同比增140.82万吨，升43.34%。</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③建材社库651.59万吨，周环比减11.22万吨，降1.69%；年同比增106.31万吨，升19.50%。</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【农产品期货】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印度开始限制食糖出口</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印度政府6月1日宣布，为保障国内食糖供应和价格稳定，即日起对本国食糖（包括原糖、精制糖和白糖）实施出口总量限制，2021—2022榨季（2021年10月至2022年9月）出口总量将限制在1000万吨。</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乌克兰谷物集团：预计乌克兰2022年小麦产量将下降42％</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预计乌克兰2022年小麦产量将下降42％，至1920万吨；2022年玉米产量为2610万吨，同比下降31％。预计乌克兰2022-23年小麦出口量为1000万吨；或从7月1日起每年将出口1500万吨玉米。</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民间出口商报告向中国出口销售13.2万吨大豆</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美国农业部（USDA）公布数据，民间出口商报告向中国出口销售13.2万吨大豆，其中6.6万吨于2021/2022市场年度交货，6.6万吨于2022/2023市场年度交货。美国大豆的市场年度始于9月1日。</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波兰将协助乌克兰出口粮食，总量约为每年5000万吨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波兰总理莫拉维茨基6月1日表示，欧盟要求波兰协助乌克兰出口农产品，主要是粮食，总量约为每年5000万吨。莫拉维茨基表示，欧盟正为此向波兰提供资金支持，以提高后者的出口能力。</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USDA月度压榨报告数据汇总据</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美国农业部（USDA）报告显示：</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①4月美国大豆压榨量为543万吨（合计1.81亿蒲式耳），上月为579万吨（合计1.93亿蒲式耳），去年同期为510万吨（合计1.70亿蒲式耳）；</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②4月美国豆油产量为21.4亿磅，较上月下降6%，较去年同期增长8%；</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③4月油菜籽压榨量为145508吨，上月为163923吨，去年同期为193146吨；</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④4月美国菜籽油产量为1.14亿磅，较上月下降9%，较去年同期下滑29%。</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USDA月度谷物压榨和副产品产量报告</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据美国农业部（USDA）报告显示：</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①4月美国玉米用于乙醇燃料的消耗量为4.14731亿蒲式耳，上月为4.53274亿蒲式耳，去年同期为4.07524亿蒲式耳；</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②4月美国DDGS（干酒糟及其可溶物）产量为170.5万吨，上月为187.7万吨，去年同期为176.8万吨。</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联合国：有望达成恢复乌克兰粮食和俄罗斯化肥出口的协议</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联合国秘书长古特雷斯表示，恢复乌克兰粮食和俄罗斯化肥出口的协议有望达成，但仍有一段距离。俄罗斯外长拉夫罗夫称，由于对俄罗斯船只的制裁，俄罗斯出口粮食遇到困难。</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【金属期货】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阿根廷为碳酸锂出口设定每公斤53美元的参考价</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阿根廷联邦税务局（AFIP）公告，在过去两年监测到若干起非法的发货问题之后，阿根廷海关已经针对碳酸锂出口设定每公斤53美元的参考价。参考价制度将加强海关监督碳酸锂出口和避免出具低价发票的能力，这一制度将帮助阿方避免税收和向央行出售的美元遭受操纵。自2020年以来，阿根廷为20多种出口产品制定了参考价格，主要集中在农业领域。阿根廷去年出口了2.7万吨碳酸锂。</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在镍价飙升当天LME日追加保证金达到此前纪录的四倍</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伦敦金属交易所（LME）表示，伦镍在3月7日飙升，该交易所当天发出了逾70亿美元的追加保证金通知，几乎是此前单日纪录的四倍。此后一天，LME暂停了镍交易，以遏制大规模的轧空。根据周三提交的一份文件中提供的细节，进一步显示出LME交易所及其会员在动荡期间承受的巨大压力。该交易所此前曾表示，动荡对其市场构成了系统性风险。</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【能化期货】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欧佩克下调2022年全球石油过剩预期</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文件显示，欧佩克下调2022年全球石油过剩预期；欧佩克预计2022年石油供应过剩140万桶/日，此前为190万桶/日。</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美国可能会提高2021年制定的乙醇混合规定</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市场消息，拜登政府可能将2021年生物燃料规定的乙醇混合量从133亿加仑提高到139亿加仑。交易员表示，在媒体报道将提高2021年生物燃料规定的乙醇混合量后，美国可再生燃料信贷价格涨超过5%。</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因匈牙利反对 欧盟第六轮对俄制裁方案未能如期通过</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欧盟6月1日消息称，因匈牙利反对，原本计划在当天正式获批的欧盟第六轮对俄制裁方案无法如期通过。在刚刚结束的欧盟特别峰会上，欧盟各国领导人原则上就欧盟第六轮对俄制裁方案达成共识，其中包括对俄石油实施“部分禁运”。根据欧盟规则，各成员国驻欧盟代表还需将此政治共识落实为法律文本，在此基础上，新一轮对俄制裁方案才能正式生效。（央视新闻）</w:t>
      </w:r>
    </w:p>
    <w:p>
      <w:pPr>
        <w:spacing w:after="120" w:line="288" w:lineRule="auto"/>
        <w:jc w:val="center"/>
        <w:rPr>
          <w:rFonts w:hint="eastAsia" w:ascii="仿宋" w:hAnsi="仿宋" w:eastAsia="仿宋" w:cs="仿宋"/>
          <w:sz w:val="24"/>
          <w:szCs w:val="28"/>
        </w:rPr>
      </w:pPr>
    </w:p>
    <w:p>
      <w:pPr>
        <w:spacing w:after="120" w:line="288" w:lineRule="auto"/>
        <w:jc w:val="center"/>
        <w:rPr>
          <w:rFonts w:hint="eastAsia" w:ascii="仿宋" w:hAnsi="仿宋" w:eastAsia="仿宋" w:cs="仿宋"/>
          <w:sz w:val="24"/>
          <w:szCs w:val="28"/>
        </w:rPr>
      </w:pPr>
    </w:p>
    <w:p>
      <w:pPr>
        <w:spacing w:after="120" w:line="288" w:lineRule="auto"/>
        <w:jc w:val="center"/>
        <w:rPr>
          <w:rFonts w:ascii="微软雅黑" w:hAnsi="微软雅黑" w:eastAsia="微软雅黑" w:cs="Calibri"/>
          <w:b/>
          <w:smallCaps/>
          <w:color w:val="112845"/>
          <w:sz w:val="32"/>
          <w:szCs w:val="36"/>
        </w:rPr>
      </w:pPr>
      <w:r>
        <w:rPr>
          <w:rFonts w:hint="eastAsia" w:ascii="微软雅黑" w:hAnsi="微软雅黑" w:eastAsia="微软雅黑" w:cs="Calibri"/>
          <w:b/>
          <w:smallCaps/>
          <w:color w:val="112845"/>
          <w:sz w:val="32"/>
          <w:szCs w:val="36"/>
        </w:rPr>
        <w:t>金融市场</w:t>
      </w:r>
    </w:p>
    <w:p>
      <w:pPr>
        <w:spacing w:after="120" w:line="240" w:lineRule="auto"/>
        <w:rPr>
          <w:rFonts w:ascii="仿宋" w:hAnsi="仿宋" w:eastAsia="仿宋" w:cs="仿宋"/>
          <w:sz w:val="24"/>
          <w:szCs w:val="28"/>
        </w:rPr>
      </w:pPr>
    </w:p>
    <w:p>
      <w:pPr>
        <w:pStyle w:val="21"/>
        <w:numPr>
          <w:ilvl w:val="0"/>
          <w:numId w:val="2"/>
        </w:numPr>
        <w:spacing w:after="120" w:line="288" w:lineRule="auto"/>
        <w:jc w:val="left"/>
        <w:rPr>
          <w:rFonts w:ascii="仿宋" w:hAnsi="仿宋" w:eastAsia="仿宋" w:cs="仿宋"/>
          <w:b/>
          <w:bCs/>
          <w:sz w:val="24"/>
          <w:szCs w:val="28"/>
        </w:rPr>
      </w:pPr>
      <w:r>
        <w:rPr>
          <w:rFonts w:hint="eastAsia" w:ascii="仿宋" w:hAnsi="仿宋" w:eastAsia="仿宋" w:cs="仿宋"/>
          <w:b/>
          <w:bCs/>
          <w:sz w:val="24"/>
          <w:szCs w:val="28"/>
        </w:rPr>
        <w:t>金融</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银保监会日前下发《加强保险机构资金运用关联交易监管工作有关事项通知》，要求强力整治保险机构大股东或实际控制人、内部人等关联方通过关联交易挪用、侵占、套取保险资金，输送利益，转移财产，规避监管，隐匿风险等，坚持零容忍、重处罚、严监管，坚决遏制资金运用违法违规关联交易，推动保险行业高质量发展。</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财政部印发《资产管理产品相关会计处理规定》，针对资管产品的特殊性作出规范，其中包括：明确资管产品具有有限寿命本身不影响持续经营假设的成立，豁免现金流量表编制要求，允许货币市场基金、现金管理类理财产品等继续按照相关监管规定采用影子定价和偏离度控制确定金融资产的公允价值等。</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3、央行行长易纲出席第二届“绿天鹅”视频会议。会议回顾了各方自首届“绿天鹅”会议以来在绿色金融领域的积极进展，并就完善国内外合作、绿色通胀、未来一年的重点工作等问题进行了探讨。</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创新步伐不断加快，基金行业又有望迎来一类新品种。证监会官网披露的新基金上报表格中，集体出现超20家基金公司上报一类定期开放式债券基金，这或是采用混合估值法的债券基金。多位业内人士认为，这类产品属于低风险稳健性品种，一旦获批，有望给普通投资者在震荡环境下增添新一类低波动、稳健的投资品种。</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全国首个碳资信评价体系试点在宁波启动，首批碳资信评价体系金融应用试点企业与银行的成功签约，标志着宁波市将正式开展碳资信评价体系建设及金融应用试点，为中小微企业纾困解难，为绿色金融添砖加瓦。</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虽然今年A股市场大幅震荡，权益类基金业绩受挫，但截至今年5月末，权益类ETF总规模为1.01万亿元，仍然顽强站上1万亿元关口。其中，在市场大幅波动背景下，上证50ETF、沪深300ETF两大龙头产品近期“一度易主”，目前产品规模都达到480多亿元，行业规模第一的争夺仍然焦灼；在今年大跌中，科创50ETF、中概互联网ETF、恒生互联网ETF最吸金，前五月资金净流入都超过90亿元；华夏、易方达、华泰柏瑞基金位居权益类ETF前三强，都跻身千亿体量的基金公司，但行业的两极分化也是愈演愈烈。</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7、又一家外资私募进军中国市场！安盛私募基金管理(上海)有限公司已在中基协完成外商独资私募证券投资基金管理人(WOFE PFM)登记，成为第36家进军中国市场的外资私募。从股东背景来看，其母公司是安盛集团旗下的AXA IM，截至2021年底，其管理的总的资产规模（AUM）达到8870亿欧元（约合6.36万亿元人民币）。据不完全统计，目前30多家外资私募在管的规模达到585亿元，创出历史新高。</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国民养老保险官网全面详细披露公司执行董事、非执行董事、独立董事和高级管理人员名单。公司执行董事包括叶海生、黄涛，分别担任董事长、总经理，高管包括黄涛、邹江平、吴双成、曹勇、王俊霖。“国民美好生活养老年金保险”近日出现在银保监会官网人身险备案产品目录中，这标志国民养老保险首款产品正式亮相。该款产品近期将在各主要银行渠道销售。</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9、高瓴辟谣裁员传闻，称相关传言系造谣。此前有消息称，高瓴正在进行无差别裁员，本次裁员主要涉及一级市场组，在不同职级无差别裁员。“消费组全裁，TMT组优化以及转去看科技”。</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10、据中国证券报，近日，英大基金宣布下架直销APP；作为管理规模超过500亿元、以直销为战略重点的一家公募基金，这一举措引发关注；对此，英大基金表示，下线英大财富宝APP是实施精益化管理的举措之一；同时，直销业务一直以来都是公司的战略重点之一，只是提供的服务平台和场景有所调整，直销个人客户仍可使用网页和微信公众号进行交易。</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楼市</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中指院报告显示，5月，百城新建住宅平均价格为16198元/平方米，环比上涨0.03%，保持横盘态势；同比上涨1.2%，涨幅较4月收窄0.31个百分点。百城二手住宅平均价格为16030元/平方米，环比由涨转跌，跌幅为0.01%；同比上涨1.39%，涨幅较4月收窄0.52个百分点。</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中指院报告显示，1-5月，销售额100强房企销售额均值为273.9亿元，同比下降50.7%。其中，销售额超千亿元的房企有3家，较去年同期减少12家；超百亿元房企有70家，较去年同期减少48家。前5个月百强房企拿地总额4681亿元，拿地规模同比下降64.7%，降幅比上月扩大8.8个百分点。</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北京第二轮集中供地活动落幕，此次总计出让17宗地块，总出让面积98万平方米，总建筑面积175万平方米，总起始价559.7亿元。17宗地块有3宗流拍，另外14宗地块土地出让金总额约为499.58亿元，其中有4宗地块触达地价上限。</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成都市进一步优化完善稳楼市政策，从降低限购门槛、多孩家庭多购一套房、放松限售、增值税免征期“5改2”、提高公积金贷款额度、鼓励降低首付比例和贷款利率、投入保租房可新购一套房等七方面全方位释放购房需求。这也是继5月16日放松限购、限贷后，成都市再次出手稳楼市。</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四川出台新市民金融支持措施三十条，支持银行业金融机构因城施策执行好差别化住房信贷政策，对符合购房条件的新市民合理下调按揭贷款利率和首付比例。截至4月末，全省首套个人住房贷款加权平均利率已连续5个月下降，较年初下降52个基点。</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海南：受新冠肺炎疫情影响，缴交住房公积金确有困难的企业，可申请缓缴住房公积金或降低住房公积金缴存比例；5月至12月期间企业缓缴期间，缴存职工正常提取和申请住房公积金贷款，租房提取额度上限由900元/人/月提高至1200元/人/月。</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7、四川眉山提高二孩、三孩家庭公积金贷款额度上限，在现行最高额度50万元的基础上分别再提高10万元、20万元。同时三孩家庭可实施“既提又贷”。</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8、广东江门：从6月1日起，在江门市蓬江区全区、江海区全区、新会区会城街道购买新建商品住房的，实行限售政策，购房人须在办理合同网签满3年后方可转让，对上述区域暂停实行限购政策。</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9、河北沧州：单方缴存公积金最高贷款额度由40万元提高到60万元，双方缴存由60万元提高到80万元；第一次申请住房公积金贷款购买住房的，最低首付款比例由30%降低至20%。</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10、山东东营：职工家庭购买首套自住住房且无住房公积金贷款记录的，贷款额度由一人缴存住房公积金最高30万元调整为40万元，两人缴存住房公积金最高50万元调整为60万元。</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产业</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商务部等八部门发文要求加快贯通县乡村电子商务体系和快递物流配送体系，提出升级改造一批县级物流配送中心，促进县域快递物流资源整合，建设一批农村电商快递协同发展示范区，提升公共寄递物流服务能力，争取到2025年，在具备条件的地区基本实现县县有中心、乡乡有网点、村村有服务。</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2、市场监管总局印发《2022年度实施企业标准“领跑者”重点领域》，包括新能源车整车、工业机器人、激光精密加工设备、计算机等共240个重点领域。</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工信部实施道路机动车辆生产企业和产品准入管理便企服务措施，具体包括道路机动车辆产品准入事项实施容缺受理、先办后补，简化零部件产品检验视同要求，有条件允许同一集团内不同企业生产，延长企业准入事项整改期限等五个方面。</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国家发改委社会司日前组织召开银发经济座谈会，明确下一步将继续深化银发经济理论研究，明确细分产业范畴，抓紧研究要素聚集的评价体系、支持举措等配套政策体系，支持有条件的地区加快培育银发经济。</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国家发改委社会发展司通过组织召开专家视频座谈会等方式，围绕当前和今后一段时期的生活性服务业发展形势、做法成效和政策建议进行了研讨。专家们建议，在统筹发展和安全前提下，有力有序推动复工复产提速扩面，增强生活性服务业发展韧性和对经济恢复增长的贡献度。</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6、交通运输部发布数据，5月份，全国重点监测港口完成货物吞吐量10.3亿吨，同比下降0.7%，日均环比增长3.2%；完成集装箱吞吐量2308万标箱，同比增长4.2%，日均环比增长4.4%。</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7、据国铁集团，5月份，国家铁路货运保持强劲增长态势，累计发送货物3.4亿吨，同比增加2110万吨，增长6.6%，单月货物发送量创历史新高。</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8、6月1日零时起，第六批国家组织药品集采胰岛素专项中选结果将在镇江落地执行。据镇江市医保局，中选产品价格平均降幅为48%，最高降幅近73%。</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9、中汽协副秘书长陈士华表示，日前公布的购置税减半政策，叠加地方政策、厂家政策等，预计将拉动今年车市超过200万辆的增量。今年汽车产业中的整车销售额可超过3000亿元，对包括上下游在内的汽车产业的整体拉动则超5000亿元。</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10、工信部通报84款APP存在侵害用户权益行为，含每日优鲜、便利蜂、中公网校、世纪佳缘等。</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11、山东省财政厅联合有关部门出台多项政策，通过金融支持、消费补助等方式，推动文旅业恢复发展；安排资金对山东各市给予一定比例补助，支持各市发放消费券，拉动零售、餐饮、旅游领域消费。</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12、海南省体育彩票管理中心回应“视频即开彩票”称，海南省体育娱乐视频电子即开彩票游戏是2014年9月经财政部批复，2015年1月在海南省内试点销售的体育彩票。近期在实施技术系统升级，游戏规则未做调整，无新增游戏。视频电子即开游戏不涉及互联网销售，销售仅限在实体店内，通过专用销售设备采取线下方式销售。</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13、澳门博彩监察协调局公布数据显示，澳门5月份幸运博彩毛收入33.41亿澳门元，同比下降68%，1-5月幸运博彩毛收入237.92亿澳门元，同比下降44%。</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14、上海市嘉定区：鼓励个人消费者购买新能源车和燃油车，并在上海市内上牌的，给予购车补贴，车价15万元以下的给予1万元补贴，车价15万元（含）以上的给予2万元补贴。</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15、郑州发放2亿元汽车消费券，在指定汽车销售企业购买5万元以上小型非营运车辆，按照购车发票金额，燃油车可领取3000元、5000元或7000元电子消费券，新能源车可领取4000元、6000元或8000元电子消费券。</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16、据Canalys报告显示，在经历七个季度的连续增长之后，今年第一季度，中国个人电脑出货量为1170万台，同比下降1%；其中，台式机出货量同比降11%，笔记本电脑增长6%。</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17、国际半导体产业协会（SEMI）发布报告称，2022年第一季度全球半导体设备出货金额同比增长5%，达到247亿美元；因为季节性疲软，第一季度出货金额季度环比下降10%；SEMI总裁Ajit Manocha指出，随着半导体行业继续强劲增长，第一季度设备销售额同比增长与2022年的预测同步；因北美和欧洲加大了国内芯片制造的支持力度，其设备支出季度环比增长良好。</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海外</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欧盟6月1日消息称，因匈牙利反对，原本计划在当天正式获批的欧盟第六轮对俄制裁方案无法如期通过。在刚刚结束的欧盟特别峰会上，欧盟各国领导人原则上就欧盟第六轮对俄制裁方案达成共识，其中包括对俄石油实施“部分禁运”。根据欧盟规则，各成员国驻欧盟代表还需将此政治共识落实为法律文本，在此基础上，新一轮对俄制裁方案才能正式生效。</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美联储经济状况褐皮书：所有12个联邦储备地区都报告了持续的经济增长，大多数地区显示略有或温和增长；四个地区显示经济温和增长；大多数地区指出，他们的联系人报告了强劲的价格上涨，尤其是投入价格。</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3、美联储布拉德：现在判断通胀是否达到峰值还为时过早；支持“迅速”将利率上调至中性水平；重申支持FOMC加息至3.5%；届时，美联储可能会在2023年或2024年下调政策利率。</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美国总统拜登与美联储主席鲍威尔及财政部长耶伦会面，讨论通货膨胀问题。美国总统拜登表示，需要从复苏过渡到稳定增长，并强调尊重美联储的独立性，还指出美联储将使用其政策工具来应对物价上涨。耶伦承认，她在2021年预测通货膨胀率上升不会构成持续麻烦时做出了错误的判断，称没有完全理解当时的情况，而且还出现了一些意料之外的冲击使情况更加恶化。耶伦还警告，不能排除进一步的通胀冲击。</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5、加拿大央行宣布加息50个基点至1.5%，旨在努力控制通胀，避免价格上涨失控。这也是该行连续第二次加息50个基点。加拿大央行同时警告称，如有必要将采取“更强有力”措施，以实现2%通胀目标。</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日本央行副行长若田部昌澄表示，如果日本经济下行风险显现，日本央行不应排除采取必要的额外宽松措施。至少目前来说，他对日本的更大担忧仍然是持续的低增长、低利率和低通胀。他认为，4月通胀率达到2%并不等同于已达到央行的目标，由于低通胀，有必要继续实施货币宽松政策。</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7、得益于新订单和产出增长加快，美国5月ISM制造业PMI意外上升至56.1，高于经济学家预估中值54.5，4月份数据为55.4。</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8、欧元区5月制造业PMI终值为54.6，为2020年11月以来的最低水平，但高于54.4的初值。德国5月制造业PMI终值为54.8，初值为54.7；法国制造业PMI终值为54.6，初值为54.5。</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9、欧元区4月失业率6.8%，持平于纪录低位，预期6.8%，前值6.8%。</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10、英国5月制造业PMI终值录得54.6，为2021年1月以来新低，初值和市场预期值均为54.6。</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11、英国零售商协会数据显示，5月英国零售商品价格同比上涨2.8%，创下自2011年7月以来最高纪录。食品价格继续快速上涨，同比涨幅由4月的3.5%升至4.3%，为2012年4月以来最高纪录。</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12、澳大利亚一季度GDP环比增长0.8%，同比增长3.3%，环比同比增速均超出经济学家预估，为下周澳洲联储大幅加息铺平道路。</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13、美国宇航局总监察长马丁在报告中表示，美国月球计划“阿耳忒弥斯”开支将超过930亿美元，美国的登月飞行将不早于2026年执行。</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国际股市</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热门中概股涨跌不一，每日优鲜涨51.05%，诺华家具涨21.86%，蘑菇街涨17.07%，脑再生涨15.95%，怪兽充电涨14.88%，团车涨10.33%；跌幅方面，多尼斯跌32.75%，新氧跌18.21%，华夏博雅跌18.16%，欢聚跌17.22%，华迪国际跌11.49%，和黄医药跌11.22%；中概新能源汽车股涨跌互现，蔚来汽车涨1.15%，小鹏汽车跌2.43%，理想汽车涨1.56%。</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2、特斯拉CEO埃隆·马斯克近期表示，特斯拉将考虑引入苹果的AirPlay协议，以改善特斯拉汽车目前的音响效果。</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苹果准备开始在钱包应用中为现代和比亚迪两个新汽车品牌新增数字车钥匙支持，该功能现已支持宝马和起亚等车型。另有消息称，苹果将部分iPad生产从中国转移到越南。最新公布的一份专利显示，苹果考虑把摄像头装到手表的表冠上。</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4、特斯拉公司网站显示，该公司将把某些长续航车型在美国的交付推迟至多一个月。根据该公司网站上的更新日期，Model Y的新订单将在12月至明年3月交付，Model 3将在9月至12月交付，Model X将在明年2月至5月交付。分析人士表示，特斯拉很可能是由于零部件的生产和发货延迟而放缓了发展速度。</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5、英特尔与越南企业Vingroup签署一项协议，共同开发包括自动驾驶在内的技术。英特尔正寻求加快进军汽车行业，并在越南这个其最大的测试和装配基地扩大业务。</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6、欢聚一季度实现营收6.238亿美元，调整后净利润2090万美元，净利率为3.3%，去年同期净亏损率为3.7%。欢聚持续执行回购计划，一季度新增回购8020万美元股票。</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7、游戏驿站2023财年第一财季每股收益-2.08美元，预期-2.49美元；营收13.78亿美元，预期13.16亿美元；净利润-1.58亿美元，预期-1.13亿美元；游戏驿站美股盘后涨超6%。</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8、Meta收跌2.58%，盘中一度跌超4%。消息称Sandberg将辞去Meta首席运营官一职。扎克伯格称Javier Olivan将成为Meta的下一任首席运营官。</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商品</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1、国内商品期货夜盘收盘多数上涨，能源化工品普遍上涨，纸浆涨2.66%，沥青涨1.56%。黑色系全线上涨，铁矿石涨2.16%，焦炭涨1.28%。农产品多数下跌，棉纱、菜粕跌超1%。</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农业农村部等11个部门联合印发《统筹新冠肺炎疫情防控和“菜篮子”产品保供稳价工作指南》指出，严禁以疫情防控为由，擅自设卡拦截、随意断路封村，不让农民下地种田、限制农机通行作业、限制“菜篮子”产品运输、分销、配送，影响“菜篮子”产品市场稳定。</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中国煤炭工业协会、中国煤炭运销协会组织召开部分大型煤炭企业经济运行分析视频会议。会议指出，3月份以来，除化工用煤保持增长外，电力、冶金、建材等行业的煤炭消费量同比有所减少，煤炭市场供需紧张局面有所趋缓。为确保煤炭稳定供应，需加快大型现代化矿井核增审批手续办理，研究建立煤矿弹性生产和弹性产能机制，确保煤矿依法依规生产。</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4、中国石化天然气分公司集气总站——轮南天然气管道工程正式投产，首日输气量150万方，标志着中国石化西部区域天然气管道与国家管网实现互联互通。</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5、欧佩克下调2022年全球石油过剩预期，预计2022年石油供应过剩140万桶/日，此前为190万桶/日。</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国际能源署执行干事法提赫•比罗尔表示，俄罗斯是全球能源体系的基石，俄乌冲突和西方国家对俄罗斯的制裁使全球同时面临石油、天然气和电力三重危机。比罗尔认为，当前的能源危机将比20世纪70年代和80年代的危机规模更大，持续时间更长。</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7、俄罗斯政府将矿物肥料出口配额生效期延长到2022年年底，氮肥的配额略多于830万吨，复合肥的配额略多于590万吨。</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8、美国至5月27日当周API原油库存减少118.1万桶，预期减少6.7万桶，前值增加56.7万桶。</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9、波罗的海干散货指数涨2.61%，报2633点。</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债券</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债市综述】疫情转好宽信用政策频出压制情绪，期现货延续弱势。银行间主要利率债收益率普遍上行，中短券上行幅度较大；国债期货小幅收跌；月初银行间资金面宽松无虞，主要回购利率大幅下行；地产债整体走弱多数下跌，“20融创02”和“21金科03”跌超8%。</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中证转债指数收盘跌0.1%，成交额1242.32亿元；蓝盾转债跌超6%，天路转债和明泰转债均跌超4%，创维转债和盛虹转债均跌超3%，华兴转债和锦浪转债等11只债券均跌逾2%；泰林转债涨超34%，金陵转债涨超26%，两只债券盘中均二次临停；盘龙转债涨超12%，山石转债涨逾9%。</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深交所召开“创新融资工具，赋能中小企业”专题研讨会，研究探讨运用交易所债券市场创新产品缓解中小企业融资难、融资贵问题的务实举措，促进债券市场功能作用与中小企业融资需求更好对接。深交所表示，下一步将加大知识产权证券化模式复制推广力度，进一步丰富创新债券品种、CMBS、类REITs等固定收益类产品。</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中债金融估值中心：为满足市场对于证券公司次级债收益率曲线的需求，进一步提升相关债券的估值质量，拟于6月10日发布“中债证券公司次级债收益率曲线”族系，编制样本为证券公司发行的次级债券，曲线历史数据的起始日期为2021年1月4日。</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今年以来上市公司可转债发行热度颇高，募集资金规模达到1016.88亿元。其中，上市银行发行的可转债规模为210亿元，占比为五分之一，成为可转债发行“大户”。此外，厦门银行、齐鲁银行、常熟银行、瑞丰银行今年也发布公告称，拟发行可转债。业内人士指出，可转债是银行补充资本的重要工具之一，在宽信用、银行加大不良风险资产处置力度背景下，未来部分银行仍将继续青睐这一“补血”方式。</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债券重大事件】禹洲集团未能按期支付四笔美元债应付款项，构成违约事件；“19融侨01”债券持有人会议审议通过债券本金展期兑付等议案、“19融侨01”完成回售金额19.99亿元且将于6月6日开始支付利息；“20恒大03”回售金额为25亿元；标普将交通银行等3家中国银行的评级展望调整为“稳定”；精功集团等九公司确定中建信控股集团为重整投资人；贵州钟山投资涉及重大诉讼且被列为被执行人。</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外汇</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周三人民币兑美元中间价报6.6651，调贬44个基点。在岸人民币兑美元16:30收盘报6.6941，较上一交易日跌363个基点；夜盘收报6.6858，较上一交易日夜盘收跌138个基点。交易员表示，美联储本月或开始缩表，这将推高美债收益率，并对美元指数构成支撑。同时，境内购汇或增加，也对人民币构成压制。</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2、欧盟委员会判定克罗地亚符合明年加入欧元区的条件，欧元区即将迎来第20个成员国。欧盟委员会表示，克罗地亚在包括通胀和公共债务等问题上符合必要要求，应当允许其加入欧元区。</w:t>
      </w:r>
    </w:p>
    <w:p>
      <w:pPr>
        <w:keepNext w:val="0"/>
        <w:keepLines w:val="0"/>
        <w:widowControl/>
        <w:suppressLineNumbers w:val="0"/>
        <w:jc w:val="left"/>
      </w:pPr>
      <w:r>
        <w:rPr>
          <w:rFonts w:ascii="Microsoft YaHei" w:hAnsi="Microsoft YaHei" w:eastAsia="Microsoft YaHei" w:cs="Microsoft YaHei"/>
          <w:b/>
          <w:i w:val="0"/>
          <w:caps w:val="0"/>
          <w:color w:val="333333"/>
          <w:spacing w:val="0"/>
          <w:kern w:val="0"/>
          <w:sz w:val="40"/>
          <w:szCs w:val="40"/>
          <w:u w:val="none"/>
          <w:lang w:val="en-US" w:eastAsia="zh-CN" w:bidi="ar"/>
        </w:rPr>
        <w:drawing>
          <wp:inline distT="0" distB="0" distL="114300" distR="114300">
            <wp:extent cx="5275580" cy="8736330"/>
            <wp:effectExtent l="0" t="0" r="7620" b="127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6"/>
                    <a:stretch>
                      <a:fillRect/>
                    </a:stretch>
                  </pic:blipFill>
                  <pic:spPr>
                    <a:xfrm>
                      <a:off x="0" y="0"/>
                      <a:ext cx="5275580" cy="8736330"/>
                    </a:xfrm>
                    <a:prstGeom prst="rect">
                      <a:avLst/>
                    </a:prstGeom>
                    <a:noFill/>
                    <a:ln w="9525">
                      <a:noFill/>
                    </a:ln>
                  </pic:spPr>
                </pic:pic>
              </a:graphicData>
            </a:graphic>
          </wp:inline>
        </w:drawing>
      </w:r>
    </w:p>
    <w:p>
      <w:pPr>
        <w:keepNext w:val="0"/>
        <w:keepLines w:val="0"/>
        <w:widowControl/>
        <w:suppressLineNumbers w:val="0"/>
        <w:jc w:val="left"/>
      </w:pPr>
    </w:p>
    <w:p>
      <w:pPr>
        <w:keepNext w:val="0"/>
        <w:keepLines w:val="0"/>
        <w:widowControl/>
        <w:suppressLineNumbers w:val="0"/>
        <w:jc w:val="left"/>
      </w:pPr>
    </w:p>
    <w:p>
      <w:pPr>
        <w:spacing w:after="120" w:line="288" w:lineRule="auto"/>
        <w:jc w:val="left"/>
        <w:rPr>
          <w:rFonts w:hint="eastAsia" w:ascii="仿宋" w:hAnsi="仿宋" w:eastAsia="仿宋" w:cs="仿宋"/>
          <w:sz w:val="24"/>
          <w:szCs w:val="28"/>
        </w:rPr>
      </w:pP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注：本文资讯内容根据网络，冠通期货编辑整理而成，仅供投资者参考。</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本报告发布机构</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--冠通期货股份有限公司（已获中国证监会许可的期货投资咨询业务资格）</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免责声</w:t>
      </w:r>
      <w:r>
        <w:rPr>
          <w:rFonts w:ascii="微软雅黑" w:hAnsi="微软雅黑" w:eastAsia="微软雅黑" w:cs="Calibri"/>
          <w:b/>
          <w:iCs/>
          <w:color w:val="17365D"/>
          <w:sz w:val="22"/>
          <w:szCs w:val="24"/>
        </w:rPr>
        <w:t>明</w:t>
      </w:r>
      <w:r>
        <w:rPr>
          <w:rFonts w:ascii="微软雅黑" w:hAnsi="微软雅黑" w:eastAsia="微软雅黑" w:cs="Calibri"/>
          <w:b/>
          <w:iCs/>
          <w:color w:val="1F497D"/>
          <w:sz w:val="22"/>
          <w:szCs w:val="24"/>
        </w:rPr>
        <w:t>：</w:t>
      </w:r>
    </w:p>
    <w:p>
      <w:pPr>
        <w:spacing w:after="120" w:line="288" w:lineRule="auto"/>
        <w:jc w:val="left"/>
        <w:rPr>
          <w:rFonts w:ascii="微软雅黑" w:hAnsi="微软雅黑" w:eastAsia="微软雅黑" w:cs="Calibri"/>
          <w:iCs/>
          <w:sz w:val="22"/>
          <w:szCs w:val="24"/>
        </w:rPr>
      </w:pPr>
      <w:r>
        <w:rPr>
          <w:rFonts w:ascii="微软雅黑" w:hAnsi="微软雅黑" w:eastAsia="微软雅黑" w:cs="Calibri"/>
          <w:iCs/>
          <w:sz w:val="22"/>
          <w:szCs w:val="24"/>
        </w:rPr>
        <w:t>本报告中的信息均来源于公开资料，我公司对这些信息的准确性和完整性不作任何保证。报告中的内容和意见仅供参考，并不构成对所述品种买卖的出价或征价。我公司及其雇员对使用本报告及其内容所引发的任何直接或间接损失概不负责。本报告仅向特定客户传送，版权归冠通期货所有。未经我公司书面许可，任何机构和个人均不得以任何形式翻版，复制，引用或转载。如引用、转载、刊发，须注明出处为冠通期货股份有限公司。</w:t>
      </w:r>
    </w:p>
    <w:sectPr>
      <w:headerReference r:id="rId3" w:type="default"/>
      <w:footerReference r:id="rId4" w:type="default"/>
      <w:pgSz w:w="11906" w:h="16838"/>
      <w:pgMar w:top="1440" w:right="1800" w:bottom="1440" w:left="1800" w:header="851" w:footer="22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楷体_GB2312">
    <w:altName w:val="汉仪楷体简"/>
    <w:panose1 w:val="00000000000000000000"/>
    <w:charset w:val="86"/>
    <w:family w:val="modern"/>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汉仪旗黑">
    <w:panose1 w:val="00020600040101010101"/>
    <w:charset w:val="86"/>
    <w:family w:val="auto"/>
    <w:pitch w:val="default"/>
    <w:sig w:usb0="A00002BF" w:usb1="1ACF7CFA" w:usb2="00000016" w:usb3="00000000" w:csb0="0004009F" w:csb1="DFD7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Microsoft YaHei">
    <w:altName w:val="汉仪旗黑"/>
    <w:panose1 w:val="00000000000000000000"/>
    <w:charset w:val="00"/>
    <w:family w:val="auto"/>
    <w:pitch w:val="default"/>
    <w:sig w:usb0="00000000" w:usb1="00000000" w:usb2="0000000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apple-system">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b/>
        <w:color w:val="8DB3E2"/>
      </w:rPr>
    </w:pPr>
    <w:r>
      <w:rPr>
        <w:rFonts w:hint="eastAsia"/>
        <w:b/>
        <w:color w:val="8DB3E2"/>
      </w:rPr>
      <w:t>投资有风险，入市需谨慎。</w:t>
    </w:r>
  </w:p>
  <w:p>
    <w:pPr>
      <w:pStyle w:val="13"/>
      <w:jc w:val="center"/>
    </w:pPr>
    <w:r>
      <w:rPr>
        <w:rFonts w:hint="eastAsia"/>
        <w:b/>
        <w:color w:val="8DB3E2"/>
      </w:rPr>
      <w:t>本公司具备期货投资咨询业务资格，请务必阅读最后一页免责声明。</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pPr w:leftFromText="180" w:rightFromText="180" w:vertAnchor="page" w:horzAnchor="page" w:tblpX="1837" w:tblpY="423"/>
      <w:tblOverlap w:val="never"/>
      <w:tblW w:w="0" w:type="auto"/>
      <w:tblInd w:w="0" w:type="dxa"/>
      <w:tblLayout w:type="fixed"/>
      <w:tblCellMar>
        <w:top w:w="0" w:type="dxa"/>
        <w:left w:w="108" w:type="dxa"/>
        <w:bottom w:w="0" w:type="dxa"/>
        <w:right w:w="108" w:type="dxa"/>
      </w:tblCellMar>
    </w:tblPr>
    <w:tblGrid>
      <w:gridCol w:w="8522"/>
    </w:tblGrid>
    <w:tr>
      <w:tc>
        <w:tcPr>
          <w:tcW w:w="8522" w:type="dxa"/>
        </w:tcPr>
        <w:p>
          <w:pPr>
            <w:rPr>
              <w:sz w:val="28"/>
            </w:rPr>
          </w:pPr>
          <w:r>
            <w:rPr>
              <w:sz w:val="28"/>
            </w:rPr>
            <w:drawing>
              <wp:inline distT="0" distB="0" distL="0" distR="0">
                <wp:extent cx="2514600" cy="466725"/>
                <wp:effectExtent l="0" t="0" r="0" b="9525"/>
                <wp:docPr id="4097" name="图片 5" descr="公司全称"/>
                <wp:cNvGraphicFramePr/>
                <a:graphic xmlns:a="http://schemas.openxmlformats.org/drawingml/2006/main">
                  <a:graphicData uri="http://schemas.openxmlformats.org/drawingml/2006/picture">
                    <pic:pic xmlns:pic="http://schemas.openxmlformats.org/drawingml/2006/picture">
                      <pic:nvPicPr>
                        <pic:cNvPr id="4097" name="图片 5" descr="公司全称"/>
                        <pic:cNvPicPr/>
                      </pic:nvPicPr>
                      <pic:blipFill>
                        <a:blip r:embed="rId1" cstate="print"/>
                        <a:srcRect/>
                        <a:stretch>
                          <a:fillRect/>
                        </a:stretch>
                      </pic:blipFill>
                      <pic:spPr>
                        <a:xfrm>
                          <a:off x="0" y="0"/>
                          <a:ext cx="2514600" cy="466725"/>
                        </a:xfrm>
                        <a:prstGeom prst="rect">
                          <a:avLst/>
                        </a:prstGeom>
                        <a:ln>
                          <a:noFill/>
                        </a:ln>
                      </pic:spPr>
                    </pic:pic>
                  </a:graphicData>
                </a:graphic>
              </wp:inline>
            </w:drawing>
          </w:r>
          <w:r>
            <w:rPr>
              <w:sz w:val="28"/>
            </w:rPr>
            <mc:AlternateContent>
              <mc:Choice Requires="wpg">
                <w:drawing>
                  <wp:anchor distT="0" distB="0" distL="0" distR="0" simplePos="0" relativeHeight="251659264" behindDoc="0" locked="0" layoutInCell="1" allowOverlap="1">
                    <wp:simplePos x="0" y="0"/>
                    <wp:positionH relativeFrom="column">
                      <wp:posOffset>2486025</wp:posOffset>
                    </wp:positionH>
                    <wp:positionV relativeFrom="paragraph">
                      <wp:posOffset>60325</wp:posOffset>
                    </wp:positionV>
                    <wp:extent cx="2867025" cy="424180"/>
                    <wp:effectExtent l="3810" t="4445" r="0" b="0"/>
                    <wp:wrapNone/>
                    <wp:docPr id="4098" name="组合 7"/>
                    <wp:cNvGraphicFramePr/>
                    <a:graphic xmlns:a="http://schemas.openxmlformats.org/drawingml/2006/main">
                      <a:graphicData uri="http://schemas.microsoft.com/office/word/2010/wordprocessingGroup">
                        <wpg:wgp>
                          <wpg:cNvGrpSpPr/>
                          <wpg:grpSpPr>
                            <a:xfrm>
                              <a:off x="0" y="0"/>
                              <a:ext cx="2867025" cy="424180"/>
                              <a:chOff x="0" y="0"/>
                              <a:chExt cx="4515" cy="668"/>
                            </a:xfrm>
                          </wpg:grpSpPr>
                          <wps:wsp>
                            <wps:cNvPr id="1" name="矩形 1"/>
                            <wps:cNvSpPr/>
                            <wps:spPr>
                              <a:xfrm>
                                <a:off x="150" y="525"/>
                                <a:ext cx="4365" cy="143"/>
                              </a:xfrm>
                              <a:prstGeom prst="rect">
                                <a:avLst/>
                              </a:prstGeom>
                              <a:gradFill flip="none" rotWithShape="0">
                                <a:gsLst>
                                  <a:gs pos="0">
                                    <a:srgbClr val="FFFFFF"/>
                                  </a:gs>
                                  <a:gs pos="100000">
                                    <a:srgbClr val="4F81BD"/>
                                  </a:gs>
                                </a:gsLst>
                                <a:lin ang="0" scaled="1"/>
                              </a:gradFill>
                              <a:ln>
                                <a:noFill/>
                              </a:ln>
                            </wps:spPr>
                            <wps:bodyPr/>
                          </wps:wsp>
                          <wps:wsp>
                            <wps:cNvPr id="2" name="矩形 2"/>
                            <wps:cNvSpPr/>
                            <wps:spPr>
                              <a:xfrm>
                                <a:off x="0" y="0"/>
                                <a:ext cx="4290" cy="623"/>
                              </a:xfrm>
                              <a:prstGeom prst="rect">
                                <a:avLst/>
                              </a:prstGeom>
                              <a:solidFill>
                                <a:srgbClr val="FFFFFF">
                                  <a:alpha val="0"/>
                                </a:srgbClr>
                              </a:solidFill>
                              <a:ln>
                                <a:noFill/>
                              </a:ln>
                            </wps:spPr>
                            <wps:txbx>
                              <w:txbxContent>
                                <w:p>
                                  <w:pPr>
                                    <w:spacing w:after="0" w:line="200" w:lineRule="exact"/>
                                    <w:rPr>
                                      <w:rFonts w:ascii="楷体_GB2312" w:eastAsia="楷体_GB2312"/>
                                      <w:sz w:val="13"/>
                                      <w:szCs w:val="13"/>
                                    </w:rPr>
                                  </w:pPr>
                                  <w:r>
                                    <w:rPr>
                                      <w:rFonts w:hint="eastAsia" w:ascii="楷体_GB2312" w:eastAsia="楷体_GB2312"/>
                                      <w:sz w:val="13"/>
                                      <w:szCs w:val="13"/>
                                    </w:rPr>
                                    <w:t>地址：北京市朝阳区朝阳门外大街甲6号万通中心D座20层（100020）</w:t>
                                  </w:r>
                                </w:p>
                                <w:p>
                                  <w:pPr>
                                    <w:spacing w:after="0" w:line="200" w:lineRule="exact"/>
                                    <w:rPr>
                                      <w:rFonts w:ascii="楷体_GB2312" w:eastAsia="楷体_GB2312"/>
                                      <w:sz w:val="13"/>
                                      <w:szCs w:val="13"/>
                                    </w:rPr>
                                  </w:pPr>
                                  <w:r>
                                    <w:rPr>
                                      <w:rFonts w:hint="eastAsia" w:ascii="楷体_GB2312" w:eastAsia="楷体_GB2312"/>
                                      <w:sz w:val="13"/>
                                      <w:szCs w:val="13"/>
                                    </w:rPr>
                                    <w:t>总机：010-8535 6666</w:t>
                                  </w:r>
                                </w:p>
                              </w:txbxContent>
                            </wps:txbx>
                            <wps:bodyPr vert="horz" wrap="square" lIns="91440" tIns="45720" rIns="91440" bIns="45720" anchor="t" upright="1">
                              <a:noAutofit/>
                            </wps:bodyPr>
                          </wps:wsp>
                        </wpg:wgp>
                      </a:graphicData>
                    </a:graphic>
                  </wp:anchor>
                </w:drawing>
              </mc:Choice>
              <mc:Fallback>
                <w:pict>
                  <v:group id="组合 7" o:spid="_x0000_s1026" o:spt="203" style="position:absolute;left:0pt;margin-left:195.75pt;margin-top:4.75pt;height:33.4pt;width:225.75pt;z-index:251659264;mso-width-relative:page;mso-height-relative:page;" coordsize="4515,668" o:gfxdata="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FgAA&#10;AGRycy9QSwECFAAUAAAACACHTuJAlRL3rdkAAAAIAQAADwAAAAAAAAABACAAAAA4AAAAZHJzL2Rv&#10;d25yZXYueG1sUEsBAhQAFAAAAAgAh07iQGIkIp7OAgAA1gYAAA4AAAAAAAAAAQAgAAAAPgEAAGRy&#10;cy9lMm9Eb2MueG1sUEsFBgAAAAAGAAYAWQEAAH4GAAAAAA==&#10;">
                    <o:lock v:ext="edit" aspectratio="f"/>
                    <v:rect id="_x0000_s1026" o:spid="_x0000_s1026" o:spt="1" style="position:absolute;left:150;top:525;height:143;width:4365;" fillcolor="#FFFFFF" filled="t" stroked="f" coordsize="21600,21600" o:gfxdata="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aaub27AAAA2gAAAA8AAAAAAAAAAQAgAAAAOAAAAGRycy9kb3ducmV2Lnht&#10;bFBLAQIUABQAAAAIAIdO4kAzLwWeOwAAADkAAAAQAAAAAAAAAAEAIAAAACABAABkcnMvc2hhcGV4&#10;bWwueG1sUEsFBgAAAAAGAAYAWwEAAMoDAAAAAA==&#10;">
                      <v:fill type="gradient" on="t" color2="#4F81BD" angle="90" focus="100%" focussize="0,0"/>
                      <v:stroke on="f"/>
                      <v:imagedata o:title=""/>
                      <o:lock v:ext="edit" aspectratio="f"/>
                    </v:rect>
                    <v:rect id="_x0000_s1026" o:spid="_x0000_s1026" o:spt="1" style="position:absolute;left:0;top:0;height:623;width:4290;" fillcolor="#FFFFFF" filled="t" stroked="f" coordsize="21600,21600" o:gfxdata="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kwfle7AAAA2gAAAA8AAAAAAAAAAQAgAAAAOAAAAGRycy9kb3ducmV2Lnht&#10;bFBLAQIUABQAAAAIAIdO4kAzLwWeOwAAADkAAAAQAAAAAAAAAAEAIAAAACABAABkcnMvc2hhcGV4&#10;bWwueG1sUEsFBgAAAAAGAAYAWwEAAMoDAAAAAA==&#10;">
                      <v:fill on="t" opacity="0f" focussize="0,0"/>
                      <v:stroke on="f"/>
                      <v:imagedata o:title=""/>
                      <o:lock v:ext="edit" aspectratio="f"/>
                      <v:textbox>
                        <w:txbxContent>
                          <w:p>
                            <w:pPr>
                              <w:spacing w:after="0" w:line="200" w:lineRule="exact"/>
                              <w:rPr>
                                <w:rFonts w:ascii="楷体_GB2312" w:eastAsia="楷体_GB2312"/>
                                <w:sz w:val="13"/>
                                <w:szCs w:val="13"/>
                              </w:rPr>
                            </w:pPr>
                            <w:r>
                              <w:rPr>
                                <w:rFonts w:hint="eastAsia" w:ascii="楷体_GB2312" w:eastAsia="楷体_GB2312"/>
                                <w:sz w:val="13"/>
                                <w:szCs w:val="13"/>
                              </w:rPr>
                              <w:t>地址：北京市朝阳区朝阳门外大街甲6号万通中心D座20层（100020）</w:t>
                            </w:r>
                          </w:p>
                          <w:p>
                            <w:pPr>
                              <w:spacing w:after="0" w:line="200" w:lineRule="exact"/>
                              <w:rPr>
                                <w:rFonts w:ascii="楷体_GB2312" w:eastAsia="楷体_GB2312"/>
                                <w:sz w:val="13"/>
                                <w:szCs w:val="13"/>
                              </w:rPr>
                            </w:pPr>
                            <w:r>
                              <w:rPr>
                                <w:rFonts w:hint="eastAsia" w:ascii="楷体_GB2312" w:eastAsia="楷体_GB2312"/>
                                <w:sz w:val="13"/>
                                <w:szCs w:val="13"/>
                              </w:rPr>
                              <w:t>总机：010-8535 6666</w:t>
                            </w:r>
                          </w:p>
                        </w:txbxContent>
                      </v:textbox>
                    </v:rect>
                  </v:group>
                </w:pict>
              </mc:Fallback>
            </mc:AlternateContent>
          </w:r>
        </w:p>
      </w:tc>
    </w:tr>
  </w:tbl>
  <w:p>
    <w:pPr>
      <w:pStyle w:val="14"/>
      <w:jc w:val="left"/>
      <w:rPr>
        <w:rFonts w:hint="eastAsia"/>
        <w:b/>
        <w:i/>
        <w:color w:val="8DB3E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B4C1E"/>
    <w:multiLevelType w:val="multilevel"/>
    <w:tmpl w:val="33BB4C1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29800C3"/>
    <w:multiLevelType w:val="singleLevel"/>
    <w:tmpl w:val="629800C3"/>
    <w:lvl w:ilvl="0" w:tentative="0">
      <w:start w:val="1"/>
      <w:numFmt w:val="bullet"/>
      <w:lvlText w:val=""/>
      <w:lvlJc w:val="left"/>
      <w:pPr>
        <w:ind w:left="420" w:leftChars="0" w:hanging="420" w:firstLineChars="0"/>
      </w:pPr>
      <w:rPr>
        <w:rFonts w:hint="default" w:ascii="Wingdings" w:hAnsi="Wingdings"/>
      </w:rPr>
    </w:lvl>
  </w:abstractNum>
  <w:abstractNum w:abstractNumId="2">
    <w:nsid w:val="62980230"/>
    <w:multiLevelType w:val="singleLevel"/>
    <w:tmpl w:val="62980230"/>
    <w:lvl w:ilvl="0" w:tentative="0">
      <w:start w:val="1"/>
      <w:numFmt w:val="bullet"/>
      <w:lvlText w:val=""/>
      <w:lvlJc w:val="left"/>
      <w:pPr>
        <w:ind w:left="420" w:leftChars="0" w:hanging="420" w:firstLineChars="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hMTk2YjlkNTJiYTBlYTNjZGYyMzJiYjA5MDRjNWQifQ=="/>
  </w:docVars>
  <w:rsids>
    <w:rsidRoot w:val="005152AA"/>
    <w:rsid w:val="000256A8"/>
    <w:rsid w:val="000C318D"/>
    <w:rsid w:val="000E1126"/>
    <w:rsid w:val="00126DF5"/>
    <w:rsid w:val="001703DF"/>
    <w:rsid w:val="00185335"/>
    <w:rsid w:val="001C7A10"/>
    <w:rsid w:val="00265C49"/>
    <w:rsid w:val="002E4659"/>
    <w:rsid w:val="0034732A"/>
    <w:rsid w:val="00365D0F"/>
    <w:rsid w:val="00372BF5"/>
    <w:rsid w:val="003B3775"/>
    <w:rsid w:val="003D0905"/>
    <w:rsid w:val="003D161E"/>
    <w:rsid w:val="00467936"/>
    <w:rsid w:val="004C251D"/>
    <w:rsid w:val="004D60A3"/>
    <w:rsid w:val="005048B4"/>
    <w:rsid w:val="005152AA"/>
    <w:rsid w:val="0070094B"/>
    <w:rsid w:val="00726801"/>
    <w:rsid w:val="007B6A48"/>
    <w:rsid w:val="007C01CD"/>
    <w:rsid w:val="0084255C"/>
    <w:rsid w:val="00846B0B"/>
    <w:rsid w:val="00905A79"/>
    <w:rsid w:val="0093015D"/>
    <w:rsid w:val="00AB4C6E"/>
    <w:rsid w:val="00AC2483"/>
    <w:rsid w:val="00B70033"/>
    <w:rsid w:val="00BB144D"/>
    <w:rsid w:val="00BC2755"/>
    <w:rsid w:val="00C278C7"/>
    <w:rsid w:val="00C623B6"/>
    <w:rsid w:val="00CA05AD"/>
    <w:rsid w:val="00CD1ADD"/>
    <w:rsid w:val="00D03B67"/>
    <w:rsid w:val="00D73B08"/>
    <w:rsid w:val="00DD5AFE"/>
    <w:rsid w:val="00DF4C7F"/>
    <w:rsid w:val="00DF6490"/>
    <w:rsid w:val="00E30089"/>
    <w:rsid w:val="00E426CE"/>
    <w:rsid w:val="00F06A82"/>
    <w:rsid w:val="00F12143"/>
    <w:rsid w:val="00F4613B"/>
    <w:rsid w:val="00F72558"/>
    <w:rsid w:val="00FA7419"/>
    <w:rsid w:val="00FF6D81"/>
    <w:rsid w:val="08855CA2"/>
    <w:rsid w:val="1D482037"/>
    <w:rsid w:val="1D533F46"/>
    <w:rsid w:val="1DF93E7B"/>
    <w:rsid w:val="1F6ED227"/>
    <w:rsid w:val="2EFF9C5B"/>
    <w:rsid w:val="2FB63C32"/>
    <w:rsid w:val="30AFF083"/>
    <w:rsid w:val="378F7ACD"/>
    <w:rsid w:val="37D77E59"/>
    <w:rsid w:val="5DEFECEF"/>
    <w:rsid w:val="5F7ED7DA"/>
    <w:rsid w:val="657D161F"/>
    <w:rsid w:val="67E4651E"/>
    <w:rsid w:val="6F3F6644"/>
    <w:rsid w:val="6FBD827A"/>
    <w:rsid w:val="6FF3D9E0"/>
    <w:rsid w:val="76DF05C7"/>
    <w:rsid w:val="7AEBE989"/>
    <w:rsid w:val="7DFE235B"/>
    <w:rsid w:val="7FB765BD"/>
    <w:rsid w:val="7FD59CB2"/>
    <w:rsid w:val="7FEF5DAA"/>
    <w:rsid w:val="7FFF9902"/>
    <w:rsid w:val="937C7D1B"/>
    <w:rsid w:val="AEF7D5D5"/>
    <w:rsid w:val="B3FF25F0"/>
    <w:rsid w:val="B7EB2313"/>
    <w:rsid w:val="B7F17ECC"/>
    <w:rsid w:val="DDFFD333"/>
    <w:rsid w:val="EF3E958F"/>
    <w:rsid w:val="EFFF22C8"/>
    <w:rsid w:val="F7FFDF52"/>
    <w:rsid w:val="F99FC0A2"/>
    <w:rsid w:val="F9CF77D7"/>
    <w:rsid w:val="FEDD926B"/>
    <w:rsid w:val="FFFC0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jc w:val="both"/>
    </w:pPr>
    <w:rPr>
      <w:rFonts w:ascii="Calibri" w:hAnsi="Calibri" w:eastAsia="宋体" w:cs="宋体"/>
      <w:lang w:val="en-US" w:eastAsia="zh-CN" w:bidi="ar-SA"/>
    </w:rPr>
  </w:style>
  <w:style w:type="paragraph" w:styleId="2">
    <w:name w:val="heading 1"/>
    <w:basedOn w:val="1"/>
    <w:next w:val="1"/>
    <w:link w:val="28"/>
    <w:qFormat/>
    <w:uiPriority w:val="9"/>
    <w:pPr>
      <w:spacing w:before="300" w:after="40"/>
      <w:jc w:val="left"/>
      <w:outlineLvl w:val="0"/>
    </w:pPr>
    <w:rPr>
      <w:smallCaps/>
      <w:spacing w:val="5"/>
      <w:sz w:val="32"/>
      <w:szCs w:val="32"/>
    </w:rPr>
  </w:style>
  <w:style w:type="paragraph" w:styleId="3">
    <w:name w:val="heading 2"/>
    <w:basedOn w:val="1"/>
    <w:next w:val="1"/>
    <w:link w:val="29"/>
    <w:qFormat/>
    <w:uiPriority w:val="9"/>
    <w:pPr>
      <w:spacing w:before="240" w:after="80"/>
      <w:jc w:val="left"/>
      <w:outlineLvl w:val="1"/>
    </w:pPr>
    <w:rPr>
      <w:smallCaps/>
      <w:spacing w:val="5"/>
      <w:sz w:val="28"/>
      <w:szCs w:val="28"/>
    </w:rPr>
  </w:style>
  <w:style w:type="paragraph" w:styleId="4">
    <w:name w:val="heading 3"/>
    <w:basedOn w:val="1"/>
    <w:next w:val="1"/>
    <w:link w:val="30"/>
    <w:qFormat/>
    <w:uiPriority w:val="9"/>
    <w:pPr>
      <w:spacing w:after="0"/>
      <w:jc w:val="left"/>
      <w:outlineLvl w:val="2"/>
    </w:pPr>
    <w:rPr>
      <w:smallCaps/>
      <w:spacing w:val="5"/>
      <w:sz w:val="24"/>
      <w:szCs w:val="24"/>
    </w:rPr>
  </w:style>
  <w:style w:type="paragraph" w:styleId="5">
    <w:name w:val="heading 4"/>
    <w:basedOn w:val="1"/>
    <w:next w:val="1"/>
    <w:link w:val="31"/>
    <w:qFormat/>
    <w:uiPriority w:val="9"/>
    <w:pPr>
      <w:spacing w:before="240" w:after="0"/>
      <w:jc w:val="left"/>
      <w:outlineLvl w:val="3"/>
    </w:pPr>
    <w:rPr>
      <w:smallCaps/>
      <w:spacing w:val="10"/>
      <w:sz w:val="22"/>
      <w:szCs w:val="22"/>
    </w:rPr>
  </w:style>
  <w:style w:type="paragraph" w:styleId="6">
    <w:name w:val="heading 5"/>
    <w:basedOn w:val="1"/>
    <w:next w:val="1"/>
    <w:link w:val="32"/>
    <w:qFormat/>
    <w:uiPriority w:val="9"/>
    <w:pPr>
      <w:spacing w:before="200" w:after="0"/>
      <w:jc w:val="left"/>
      <w:outlineLvl w:val="4"/>
    </w:pPr>
    <w:rPr>
      <w:smallCaps/>
      <w:color w:val="4381CF"/>
      <w:spacing w:val="10"/>
      <w:sz w:val="22"/>
      <w:szCs w:val="26"/>
    </w:rPr>
  </w:style>
  <w:style w:type="paragraph" w:styleId="7">
    <w:name w:val="heading 6"/>
    <w:basedOn w:val="1"/>
    <w:next w:val="1"/>
    <w:link w:val="33"/>
    <w:qFormat/>
    <w:uiPriority w:val="9"/>
    <w:pPr>
      <w:spacing w:after="0"/>
      <w:jc w:val="left"/>
      <w:outlineLvl w:val="5"/>
    </w:pPr>
    <w:rPr>
      <w:smallCaps/>
      <w:color w:val="8DB3E2"/>
      <w:spacing w:val="5"/>
      <w:sz w:val="22"/>
    </w:rPr>
  </w:style>
  <w:style w:type="paragraph" w:styleId="8">
    <w:name w:val="heading 7"/>
    <w:basedOn w:val="1"/>
    <w:next w:val="1"/>
    <w:link w:val="34"/>
    <w:qFormat/>
    <w:uiPriority w:val="9"/>
    <w:pPr>
      <w:spacing w:after="0"/>
      <w:jc w:val="left"/>
      <w:outlineLvl w:val="6"/>
    </w:pPr>
    <w:rPr>
      <w:b/>
      <w:smallCaps/>
      <w:color w:val="8DB3E2"/>
      <w:spacing w:val="10"/>
    </w:rPr>
  </w:style>
  <w:style w:type="paragraph" w:styleId="9">
    <w:name w:val="heading 8"/>
    <w:basedOn w:val="1"/>
    <w:next w:val="1"/>
    <w:link w:val="35"/>
    <w:qFormat/>
    <w:uiPriority w:val="9"/>
    <w:pPr>
      <w:spacing w:after="0"/>
      <w:jc w:val="left"/>
      <w:outlineLvl w:val="7"/>
    </w:pPr>
    <w:rPr>
      <w:b/>
      <w:i/>
      <w:smallCaps/>
      <w:color w:val="4381CF"/>
    </w:rPr>
  </w:style>
  <w:style w:type="paragraph" w:styleId="10">
    <w:name w:val="heading 9"/>
    <w:basedOn w:val="1"/>
    <w:next w:val="1"/>
    <w:link w:val="36"/>
    <w:qFormat/>
    <w:uiPriority w:val="9"/>
    <w:pPr>
      <w:spacing w:after="0"/>
      <w:jc w:val="left"/>
      <w:outlineLvl w:val="8"/>
    </w:pPr>
    <w:rPr>
      <w:b/>
      <w:i/>
      <w:smallCaps/>
      <w:color w:val="255692"/>
    </w:rPr>
  </w:style>
  <w:style w:type="character" w:default="1" w:styleId="17">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11">
    <w:name w:val="caption"/>
    <w:basedOn w:val="1"/>
    <w:next w:val="1"/>
    <w:qFormat/>
    <w:uiPriority w:val="35"/>
    <w:rPr>
      <w:b/>
      <w:bCs/>
      <w:caps/>
      <w:sz w:val="16"/>
      <w:szCs w:val="18"/>
    </w:rPr>
  </w:style>
  <w:style w:type="paragraph" w:styleId="12">
    <w:name w:val="Balloon Text"/>
    <w:basedOn w:val="1"/>
    <w:link w:val="22"/>
    <w:qFormat/>
    <w:uiPriority w:val="99"/>
    <w:rPr>
      <w:sz w:val="18"/>
      <w:szCs w:val="18"/>
    </w:rPr>
  </w:style>
  <w:style w:type="paragraph" w:styleId="13">
    <w:name w:val="footer"/>
    <w:basedOn w:val="1"/>
    <w:link w:val="24"/>
    <w:qFormat/>
    <w:uiPriority w:val="99"/>
    <w:pPr>
      <w:tabs>
        <w:tab w:val="center" w:pos="4153"/>
        <w:tab w:val="right" w:pos="8306"/>
      </w:tabs>
      <w:snapToGrid w:val="0"/>
    </w:pPr>
    <w:rPr>
      <w:sz w:val="18"/>
      <w:szCs w:val="18"/>
    </w:rPr>
  </w:style>
  <w:style w:type="paragraph" w:styleId="14">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7"/>
    <w:qFormat/>
    <w:uiPriority w:val="11"/>
    <w:pPr>
      <w:spacing w:after="720" w:line="240" w:lineRule="auto"/>
      <w:jc w:val="right"/>
    </w:pPr>
    <w:rPr>
      <w:rFonts w:ascii="Cambria" w:hAnsi="Cambria"/>
      <w:szCs w:val="22"/>
    </w:rPr>
  </w:style>
  <w:style w:type="paragraph" w:styleId="16">
    <w:name w:val="Title"/>
    <w:basedOn w:val="1"/>
    <w:next w:val="1"/>
    <w:link w:val="27"/>
    <w:qFormat/>
    <w:uiPriority w:val="10"/>
    <w:pPr>
      <w:pBdr>
        <w:top w:val="single" w:color="8DB3E2" w:sz="12" w:space="1"/>
      </w:pBdr>
      <w:spacing w:line="240" w:lineRule="auto"/>
      <w:jc w:val="right"/>
    </w:pPr>
    <w:rPr>
      <w:smallCaps/>
      <w:sz w:val="48"/>
      <w:szCs w:val="48"/>
    </w:rPr>
  </w:style>
  <w:style w:type="character" w:styleId="18">
    <w:name w:val="Strong"/>
    <w:qFormat/>
    <w:uiPriority w:val="22"/>
    <w:rPr>
      <w:b/>
      <w:color w:val="8DB3E2"/>
    </w:rPr>
  </w:style>
  <w:style w:type="character" w:styleId="19">
    <w:name w:val="Emphasis"/>
    <w:qFormat/>
    <w:uiPriority w:val="20"/>
    <w:rPr>
      <w:b/>
      <w:i/>
      <w:spacing w:val="10"/>
    </w:rPr>
  </w:style>
  <w:style w:type="paragraph" w:customStyle="1" w:styleId="21">
    <w:name w:val="List Paragraph"/>
    <w:basedOn w:val="1"/>
    <w:qFormat/>
    <w:uiPriority w:val="34"/>
    <w:pPr>
      <w:ind w:left="720"/>
      <w:contextualSpacing/>
    </w:pPr>
  </w:style>
  <w:style w:type="character" w:customStyle="1" w:styleId="22">
    <w:name w:val="批注框文本 字符"/>
    <w:basedOn w:val="17"/>
    <w:link w:val="12"/>
    <w:qFormat/>
    <w:uiPriority w:val="99"/>
    <w:rPr>
      <w:sz w:val="18"/>
      <w:szCs w:val="18"/>
    </w:rPr>
  </w:style>
  <w:style w:type="character" w:customStyle="1" w:styleId="23">
    <w:name w:val="页眉 字符"/>
    <w:basedOn w:val="17"/>
    <w:link w:val="14"/>
    <w:qFormat/>
    <w:uiPriority w:val="99"/>
    <w:rPr>
      <w:sz w:val="18"/>
      <w:szCs w:val="18"/>
    </w:rPr>
  </w:style>
  <w:style w:type="character" w:customStyle="1" w:styleId="24">
    <w:name w:val="页脚 字符"/>
    <w:basedOn w:val="17"/>
    <w:link w:val="13"/>
    <w:qFormat/>
    <w:uiPriority w:val="99"/>
    <w:rPr>
      <w:sz w:val="18"/>
      <w:szCs w:val="18"/>
    </w:rPr>
  </w:style>
  <w:style w:type="paragraph" w:customStyle="1" w:styleId="25">
    <w:name w:val="Quote"/>
    <w:basedOn w:val="1"/>
    <w:next w:val="1"/>
    <w:link w:val="26"/>
    <w:qFormat/>
    <w:uiPriority w:val="29"/>
    <w:rPr>
      <w:i/>
    </w:rPr>
  </w:style>
  <w:style w:type="character" w:customStyle="1" w:styleId="26">
    <w:name w:val="引用 字符"/>
    <w:basedOn w:val="17"/>
    <w:link w:val="25"/>
    <w:qFormat/>
    <w:uiPriority w:val="29"/>
    <w:rPr>
      <w:i/>
    </w:rPr>
  </w:style>
  <w:style w:type="character" w:customStyle="1" w:styleId="27">
    <w:name w:val="标题 字符"/>
    <w:basedOn w:val="17"/>
    <w:link w:val="16"/>
    <w:qFormat/>
    <w:uiPriority w:val="10"/>
    <w:rPr>
      <w:smallCaps/>
      <w:sz w:val="48"/>
      <w:szCs w:val="48"/>
    </w:rPr>
  </w:style>
  <w:style w:type="character" w:customStyle="1" w:styleId="28">
    <w:name w:val="标题 1 字符"/>
    <w:basedOn w:val="17"/>
    <w:link w:val="2"/>
    <w:qFormat/>
    <w:uiPriority w:val="9"/>
    <w:rPr>
      <w:smallCaps/>
      <w:spacing w:val="5"/>
      <w:sz w:val="32"/>
      <w:szCs w:val="32"/>
    </w:rPr>
  </w:style>
  <w:style w:type="character" w:customStyle="1" w:styleId="29">
    <w:name w:val="标题 2 字符"/>
    <w:basedOn w:val="17"/>
    <w:link w:val="3"/>
    <w:qFormat/>
    <w:uiPriority w:val="9"/>
    <w:rPr>
      <w:smallCaps/>
      <w:spacing w:val="5"/>
      <w:sz w:val="28"/>
      <w:szCs w:val="28"/>
    </w:rPr>
  </w:style>
  <w:style w:type="character" w:customStyle="1" w:styleId="30">
    <w:name w:val="标题 3 字符"/>
    <w:basedOn w:val="17"/>
    <w:link w:val="4"/>
    <w:qFormat/>
    <w:uiPriority w:val="9"/>
    <w:rPr>
      <w:smallCaps/>
      <w:spacing w:val="5"/>
      <w:sz w:val="24"/>
      <w:szCs w:val="24"/>
    </w:rPr>
  </w:style>
  <w:style w:type="character" w:customStyle="1" w:styleId="31">
    <w:name w:val="标题 4 字符"/>
    <w:basedOn w:val="17"/>
    <w:link w:val="5"/>
    <w:qFormat/>
    <w:uiPriority w:val="9"/>
    <w:rPr>
      <w:smallCaps/>
      <w:spacing w:val="10"/>
      <w:sz w:val="22"/>
      <w:szCs w:val="22"/>
    </w:rPr>
  </w:style>
  <w:style w:type="character" w:customStyle="1" w:styleId="32">
    <w:name w:val="标题 5 字符"/>
    <w:basedOn w:val="17"/>
    <w:link w:val="6"/>
    <w:qFormat/>
    <w:uiPriority w:val="9"/>
    <w:rPr>
      <w:smallCaps/>
      <w:color w:val="4381CF"/>
      <w:spacing w:val="10"/>
      <w:sz w:val="22"/>
      <w:szCs w:val="26"/>
    </w:rPr>
  </w:style>
  <w:style w:type="character" w:customStyle="1" w:styleId="33">
    <w:name w:val="标题 6 字符"/>
    <w:basedOn w:val="17"/>
    <w:link w:val="7"/>
    <w:qFormat/>
    <w:uiPriority w:val="9"/>
    <w:rPr>
      <w:smallCaps/>
      <w:color w:val="8DB3E2"/>
      <w:spacing w:val="5"/>
      <w:sz w:val="22"/>
    </w:rPr>
  </w:style>
  <w:style w:type="character" w:customStyle="1" w:styleId="34">
    <w:name w:val="标题 7 字符"/>
    <w:basedOn w:val="17"/>
    <w:link w:val="8"/>
    <w:qFormat/>
    <w:uiPriority w:val="9"/>
    <w:rPr>
      <w:b/>
      <w:smallCaps/>
      <w:color w:val="8DB3E2"/>
      <w:spacing w:val="10"/>
    </w:rPr>
  </w:style>
  <w:style w:type="character" w:customStyle="1" w:styleId="35">
    <w:name w:val="标题 8 字符"/>
    <w:basedOn w:val="17"/>
    <w:link w:val="9"/>
    <w:qFormat/>
    <w:uiPriority w:val="9"/>
    <w:rPr>
      <w:b/>
      <w:i/>
      <w:smallCaps/>
      <w:color w:val="4381CF"/>
    </w:rPr>
  </w:style>
  <w:style w:type="character" w:customStyle="1" w:styleId="36">
    <w:name w:val="标题 9 字符"/>
    <w:basedOn w:val="17"/>
    <w:link w:val="10"/>
    <w:qFormat/>
    <w:uiPriority w:val="9"/>
    <w:rPr>
      <w:b/>
      <w:i/>
      <w:smallCaps/>
      <w:color w:val="255692"/>
    </w:rPr>
  </w:style>
  <w:style w:type="character" w:customStyle="1" w:styleId="37">
    <w:name w:val="副标题 字符"/>
    <w:basedOn w:val="17"/>
    <w:link w:val="15"/>
    <w:qFormat/>
    <w:uiPriority w:val="11"/>
    <w:rPr>
      <w:rFonts w:ascii="Cambria" w:hAnsi="Cambria" w:eastAsia="宋体" w:cs="宋体"/>
      <w:szCs w:val="22"/>
    </w:rPr>
  </w:style>
  <w:style w:type="paragraph" w:customStyle="1" w:styleId="38">
    <w:name w:val="No Spacing"/>
    <w:basedOn w:val="1"/>
    <w:link w:val="48"/>
    <w:qFormat/>
    <w:uiPriority w:val="1"/>
    <w:pPr>
      <w:spacing w:after="0" w:line="240" w:lineRule="auto"/>
    </w:pPr>
  </w:style>
  <w:style w:type="paragraph" w:customStyle="1" w:styleId="39">
    <w:name w:val="Intense Quote"/>
    <w:basedOn w:val="1"/>
    <w:next w:val="1"/>
    <w:link w:val="40"/>
    <w:qFormat/>
    <w:uiPriority w:val="30"/>
    <w:pPr>
      <w:pBdr>
        <w:top w:val="single" w:color="4381CF" w:sz="8" w:space="10"/>
        <w:left w:val="single" w:color="4381CF" w:sz="8" w:space="10"/>
        <w:bottom w:val="single" w:color="4381CF" w:sz="8" w:space="10"/>
        <w:right w:val="single" w:color="4381CF" w:sz="8" w:space="10"/>
      </w:pBdr>
      <w:shd w:val="clear" w:color="auto" w:fill="8DB3E2"/>
      <w:spacing w:before="140" w:after="140"/>
      <w:ind w:left="1440" w:right="1440"/>
    </w:pPr>
    <w:rPr>
      <w:b/>
      <w:i/>
      <w:color w:val="112845"/>
    </w:rPr>
  </w:style>
  <w:style w:type="character" w:customStyle="1" w:styleId="40">
    <w:name w:val="明显引用 字符"/>
    <w:basedOn w:val="17"/>
    <w:link w:val="39"/>
    <w:qFormat/>
    <w:uiPriority w:val="30"/>
    <w:rPr>
      <w:b/>
      <w:i/>
      <w:color w:val="112845"/>
      <w:shd w:val="clear" w:color="auto" w:fill="8DB3E2"/>
    </w:rPr>
  </w:style>
  <w:style w:type="character" w:customStyle="1" w:styleId="41">
    <w:name w:val="不明显强调1"/>
    <w:qFormat/>
    <w:uiPriority w:val="19"/>
    <w:rPr>
      <w:rFonts w:ascii="Cambria" w:hAnsi="Cambria" w:eastAsia="宋体" w:cs="宋体"/>
      <w:i/>
      <w:iCs/>
      <w:color w:val="8DB3E2"/>
    </w:rPr>
  </w:style>
  <w:style w:type="character" w:customStyle="1" w:styleId="42">
    <w:name w:val="明显强调1"/>
    <w:qFormat/>
    <w:uiPriority w:val="21"/>
    <w:rPr>
      <w:rFonts w:ascii="Cambria" w:hAnsi="Cambria" w:eastAsia="宋体" w:cs="宋体"/>
      <w:b/>
      <w:bCs/>
      <w:i/>
      <w:iCs/>
      <w:color w:val="112845"/>
      <w:bdr w:val="single" w:color="8DB3E2" w:sz="18" w:space="0"/>
      <w:shd w:val="clear" w:color="auto" w:fill="8DB3E2"/>
      <w:vertAlign w:val="baseline"/>
    </w:rPr>
  </w:style>
  <w:style w:type="character" w:customStyle="1" w:styleId="43">
    <w:name w:val="不明显参考1"/>
    <w:qFormat/>
    <w:uiPriority w:val="31"/>
    <w:rPr>
      <w:i/>
      <w:iCs/>
      <w:smallCaps/>
      <w:color w:val="8DB3E2"/>
      <w:u w:color="8DB3E2"/>
    </w:rPr>
  </w:style>
  <w:style w:type="character" w:customStyle="1" w:styleId="44">
    <w:name w:val="明显参考1"/>
    <w:qFormat/>
    <w:uiPriority w:val="32"/>
    <w:rPr>
      <w:b/>
      <w:bCs/>
      <w:i/>
      <w:iCs/>
      <w:smallCaps/>
      <w:color w:val="8DB3E2"/>
      <w:u w:color="8DB3E2"/>
    </w:rPr>
  </w:style>
  <w:style w:type="character" w:customStyle="1" w:styleId="45">
    <w:name w:val="书籍标题1"/>
    <w:qFormat/>
    <w:uiPriority w:val="33"/>
    <w:rPr>
      <w:rFonts w:ascii="Cambria" w:hAnsi="Cambria" w:eastAsia="宋体" w:cs="宋体"/>
      <w:b/>
      <w:bCs/>
      <w:i/>
      <w:iCs/>
      <w:smallCaps/>
      <w:color w:val="4381CF"/>
      <w:u w:val="single"/>
    </w:rPr>
  </w:style>
  <w:style w:type="paragraph" w:customStyle="1" w:styleId="46">
    <w:name w:val="TOC 标题1"/>
    <w:basedOn w:val="2"/>
    <w:next w:val="1"/>
    <w:qFormat/>
    <w:uiPriority w:val="39"/>
    <w:pPr>
      <w:outlineLvl w:val="9"/>
    </w:pPr>
    <w:rPr>
      <w:lang w:bidi="en-US"/>
    </w:rPr>
  </w:style>
  <w:style w:type="paragraph" w:customStyle="1" w:styleId="47">
    <w:name w:val="Default"/>
    <w:qFormat/>
    <w:uiPriority w:val="0"/>
    <w:pPr>
      <w:widowControl w:val="0"/>
      <w:autoSpaceDE w:val="0"/>
      <w:autoSpaceDN w:val="0"/>
      <w:adjustRightInd w:val="0"/>
      <w:spacing w:after="200" w:line="276" w:lineRule="auto"/>
      <w:jc w:val="both"/>
    </w:pPr>
    <w:rPr>
      <w:rFonts w:ascii="楷体_GB2312" w:hAnsi="Times New Roman" w:eastAsia="楷体_GB2312" w:cs="楷体_GB2312"/>
      <w:color w:val="000000"/>
      <w:sz w:val="24"/>
      <w:szCs w:val="24"/>
      <w:lang w:val="en-US" w:eastAsia="zh-CN" w:bidi="ar-SA"/>
    </w:rPr>
  </w:style>
  <w:style w:type="character" w:customStyle="1" w:styleId="48">
    <w:name w:val="无间隔 字符"/>
    <w:basedOn w:val="17"/>
    <w:link w:val="38"/>
    <w:qFormat/>
    <w:uiPriority w:val="1"/>
  </w:style>
  <w:style w:type="character" w:customStyle="1" w:styleId="49">
    <w:name w:val="不明显强调2"/>
    <w:qFormat/>
    <w:uiPriority w:val="19"/>
    <w:rPr>
      <w:i/>
    </w:rPr>
  </w:style>
  <w:style w:type="character" w:customStyle="1" w:styleId="50">
    <w:name w:val="明显强调2"/>
    <w:qFormat/>
    <w:uiPriority w:val="21"/>
    <w:rPr>
      <w:b/>
      <w:i/>
      <w:color w:val="8DB3E2"/>
      <w:spacing w:val="10"/>
    </w:rPr>
  </w:style>
  <w:style w:type="character" w:customStyle="1" w:styleId="51">
    <w:name w:val="不明显参考2"/>
    <w:qFormat/>
    <w:uiPriority w:val="31"/>
    <w:rPr>
      <w:b/>
    </w:rPr>
  </w:style>
  <w:style w:type="character" w:customStyle="1" w:styleId="52">
    <w:name w:val="明显参考2"/>
    <w:qFormat/>
    <w:uiPriority w:val="32"/>
    <w:rPr>
      <w:b/>
      <w:bCs/>
      <w:smallCaps/>
      <w:spacing w:val="5"/>
      <w:sz w:val="22"/>
      <w:szCs w:val="22"/>
      <w:u w:val="single"/>
    </w:rPr>
  </w:style>
  <w:style w:type="character" w:customStyle="1" w:styleId="53">
    <w:name w:val="书籍标题2"/>
    <w:qFormat/>
    <w:uiPriority w:val="33"/>
    <w:rPr>
      <w:rFonts w:ascii="Cambria" w:hAnsi="Cambria" w:eastAsia="宋体" w:cs="宋体"/>
      <w:i/>
      <w:iCs/>
      <w:sz w:val="20"/>
      <w:szCs w:val="20"/>
    </w:rPr>
  </w:style>
  <w:style w:type="paragraph" w:customStyle="1" w:styleId="54">
    <w:name w:val="TOC 标题2"/>
    <w:basedOn w:val="2"/>
    <w:next w:val="1"/>
    <w:qFormat/>
    <w:uiPriority w:val="39"/>
    <w:pPr>
      <w:outlineLvl w:val="9"/>
    </w:pPr>
    <w:rPr>
      <w:lang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11079</Words>
  <Characters>12317</Characters>
  <Lines>71</Lines>
  <Paragraphs>19</Paragraphs>
  <ScaleCrop>false</ScaleCrop>
  <LinksUpToDate>false</LinksUpToDate>
  <CharactersWithSpaces>12374</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2022-05-11T09:31:00Z</dcterms:created>
  <dc:creator>Administrator</dc:creator>
  <cp:lastModifiedBy>apple</cp:lastModifiedBy>
  <cp:lastPrinted>2022-05-11T09:36:00Z</cp:lastPrinted>
  <dcterms:modified xsi:type="dcterms:W3CDTF">2022-06-02T08:19:27Z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y fmtid="{D5CDD505-2E9C-101B-9397-08002B2CF9AE}" pid="3" name="ICV">
    <vt:lpwstr>6AE49900DFE14699A5EB523DCE831BAB</vt:lpwstr>
  </property>
</Properties>
</file>