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2022/6/1</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 xml:space="preserve"> 国内期货主力合约涨跌不一。焦煤、燃料油涨超2%，动力煤、焦炭涨超1%。跌幅方面，沪镍跌近4%，SC原油、沪铝跌超2%，菜粕、豆粕跌近2%。</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国际期货主力合约多数下跌。CBOT农产品方面，CBOT大豆跌2.60%，CBOT玉米跌3.09%，CBOT豆油跌2.00%，CBOT豆粕跌3.79%，CBOT小麦跌5.96%。LME金属方面，伦铜跌1.09%，伦铝跌3.44%，伦锌涨0.32%，伦铅涨0.23%，伦镍跌3.36%。</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国家发改委：加大宏观政策调节力度，靠前发力、适当加力</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家发改委副主任赵辰昕31日在新闻发布会上表示，今天，扎实稳住经济一揽子政策措施的通知正式对全社会发布。下一步，我们将全力推动扎实稳住经济一揽子政策措施尽快落地见效，加大宏观政策调节力度，靠前发力、适当加力，着力打通制约经济循环的卡点堵点，合理扩大有效需求，确保粮食、能源、产业链供应链安全稳定，推动重点领域加快复工达产，做好重要民生商品保供稳价工作，保持经济运行在合理区间。</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工信部等4部门开展2022新能源汽车下乡活动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工信部办公厅、农业农村部办公厅、商务部办公厅、国家能源局综合司发布关于开展2022新能源汽车下乡活动的通知，鼓励各地出台更多新能源汽车下乡支持政策，改善新能源汽车使用环境，推动农村充换电基础设施建设。鼓励参加下乡活动的新能源汽车行业相关企业积极参与“双品网购节”以及各平台自发组织的各类网络促销活动，支持企业与电商、互联网平台等合作举办直播或网络购车活动，通过网上促销等方式吸引更多消费者购买。在山西、吉林、江苏、浙江、河南、山东、湖北、湖南、海南、四川、甘肃等地，选择三四线城市、县区举办若干场专场、巡展、企业活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国务院：继续推动实际贷款利率稳中有降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务院印发《关于印发扎实稳住经济一揽子政策措施的通知》。通知提出，继续推动实际贷款利率稳中有降。在用好前期降准资金、扩大信贷投放的基础上，充分发挥市场利率定价自律机制作用，持续释放贷款市场报价利率（LPR）形成机制改革效能，发挥存款利率市场化调整机制作用，引导金融机构将存款利率下降效果传导至贷款端，继续推动实际贷款利率稳中有降。</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商务部：增加新车消费 扩大二手车流通</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商务部副部长盛秋平31日在新闻发布会上表示，下一步，商务部将会同有关部门出台细化落实举措，推动汽车由购买管理向使用管理转变，确保有关措施尽快落地见效，促进汽车市场持续稳定发展。重点是两方面：一是稳住增量，增加新车消费；二是盘活存量，扩大二手车流通。</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财政部进一步加大政府采购支持中小企业力度</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财政部发布关于进一步加大政府采购支持中小企业力度的通知。通知提到，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财政部、税务总局：年底前购买不超过30万元的2.0升及以下排量乘用车减半征收车辆购置税</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财政部 、税务总局发布关于减征部分乘用车车辆购置税的公告。公告提到，对购置日期在2022年6月1日至2022年12月31日期间内且单车价格（不含增值税）不超过30万元的2.0升及以下排量乘用车，减半征收车辆购置税。</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中期协：5月全国期货市场成交量较上月增长0.38%</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全国期货市场成交量为471.12百万手；同比下降25.92%，环比增长0.38%。5月全国期货市场成交额为40.10万亿元；同比下降19.49%，环比下降1.83%。1—5月全国期货市场累计成交量为2473.91百万手；同比下降20.84%。1—5月全国期货市场累计成交额为209.56万亿元；同比下降12.44%。截至5月末，全国期货市场持仓量较上月增长13.48%。</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国务院：在确保安全清洁高效利用的前提下有序释放煤炭优质产能</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务院印发《关于印发扎实稳住经济一揽子政策措施的通知》。通知提出，在确保安全清洁高效利用的前提下有序释放煤炭优质产能。建立健全煤炭产量激励约束政策机制。依法依规加快保供煤矿手续办理，在确保安全生产和生态安全的前提下支持符合条件的露天和井工煤矿项目释放产能。尽快调整核增产能政策，支持具备安全生产条件的煤矿提高生产能力，加快煤矿优质产能释放，保障迎峰度夏电力电煤供应安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2022年5月钢铁PMI显示：疫情影响趋于减弱，钢市运行有所恢复</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从中物联钢铁物流专业委员会调查、发布的钢铁行业PMI来看，2022年5月份为40.9%，环比上升0.4个百分点，显示钢铁行业压力虽仍然较大，但行业运行有所恢复。从分项指数变化来看，疫情影响整体趋于减弱，但需求仍继续弱势运行，带动钢材价格震荡下行，钢厂生产则有所恢复，产成品库存回升。预计6月份，疫情对钢铁产业链影响将进一步减弱，市场需求或加快释放，钢厂生产趋于回升，钢材和原材料价格有所上行。</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国务院：健全完善粮食收益保障等政策</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务院印发《关于印发扎实稳住经济一揽子政策措施的通知》。通知提出，健全完善粮食收益保障等政策。针对当前农资价格依然高企情况，在前期已发放200亿元农资补贴的基础上，及时发放第二批100亿元农资补贴，弥补成本上涨带来的种粮收益下降。积极做好钾肥进口工作。完善最低收购价执行预案，落实好2022年适当提高稻谷、小麦最低收购价水平的政策要求，根据市场形势及时启动收购，保护农民种粮积极性。优化种粮补贴政策，健全种粮农民补贴政策框架。</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马来西亚可能重新审查棕榈仁饼的出口政策</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马来西亚大宗商品部周二表示，有关部门将讨论对该国棕榈仁饼出口政策的审查。该部门称，将加大力度推广利用棕榈仁废料作为动物饲料。将与利益相关方进行会谈讨论，重新评估我们的棕榈仁饼出口政策，以支持本地肉鸡养殖。现在，很多棕榈仁饼出口到欧洲的养牛业。</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机构预计马来西亚5月1-31日棕榈油出口量环比增加22%~25%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据马来西亚独立检验机构AmSpec数据显示，马来西亚5月1-31日棕榈油出口量为1361634吨，较4月同期出口的1112578吨增加22.39%。</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据船运调查机构ITS数据显示，马来西亚5月1-31日棕榈油出口量为1415569吨，较4月同期出口的1135681吨增加24.64%。</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印尼上调6月毛棕榈油出口参考价至1700.12美元/吨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印尼将2022年6月毛棕榈油出口参考价上调至1700.12美元/吨，2022年5月为1657.39美元/吨。；将2022年6月毛棕榈油出口税（tax）维持在200美元/吨不变，出口专项税（levy）维持375美元/吨不变。</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印度将毛棕榈油进口基准价定为1625美元/吨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印度将毛棕榈油进口基准价定为1625美元/吨，将33度精炼棕榈油（RBD PALM OIL）进口基准价定为1733美元/吨，将24度精炼棕榈油（RBD PALM OLEIN）进口基准价定为1741美元/吨，将豆油进口基准价定为1866美元/吨。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美国对华大豆出口检验量占比减少，总出口检验量环比减少</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美国农业部发布的出口检验周报显示，截至2022年5月26日当周，美国大豆出口检验量为378262吨，前一周修正后为581067吨，初值为575781吨。2021年5月27日当周，美国大豆出口检验量为205108吨。美国对中国（大陆地区）装运63585吨大豆。前一周美国对中国大陆装运162155吨大豆。当周美国对华大豆出口检验量占到该周出口检验总量的16.81%，上周是28.16%。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07:10:12</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美国农业部（USDA）作物生长报告</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美国农业部（USDA）周三凌晨公布的每周作物生长报告显示，截至5月29日当周，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①美国大豆播种率为66%，市场预期为67%，去年同期为83%，此前一周为50%，五年均值为67%。美国大豆出苗率为39%，去年同期为59%，此前一周为21%，五年均值为43%。</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②美国玉米播种率为86%，市场预期为85%，去年同期为94%，此前一周为72%，五年均值为87%。美国玉米出苗率为61%，去年同期为79%，此前一周为39%，五年均值为68%。</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③美国棉花播种率为68%，去年同期为62%，此前一周为54%，五年均值为64%。</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④美国春小麦播种率为73%，市场预估为67%，此前一周为49%，去年同期为97%，五年均值为92%。美国春小麦出苗率为42%，去年同期为78%，此前一周为29%，五年均值为69%。</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⑤美国冬小麦生长优良率为29%，市场预估为29%，此前一周为28%，去年同期为48%。</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CBOT小麦暴跌，因预计乌克兰谷物恢复出口</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CBOT小麦期货价格跌至三周来的最低水平，原因是俄罗斯可能允许乌克兰谷物通过黑海出口。俄罗斯和土耳其在周一的电话中讨论了黑海运输问题，俄罗斯称其愿意确保乌克兰的出口，但没有提供细节。咨询机构Farm Futures分析认为，潜在的协议可能会减轻全球谷物、油籽和燃料市场的供应压力。尽管乌克兰开放港口的前景仍不明朗，但对贸易流将改善的乐观情绪令小麦价格下跌。除此之外，交易员正等待周三凌晨4点的美国农作物的种植报告，特别是中西部和北部，降雨导致种植计划严重延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金十期货整理：CBOT农产品期货为何全线暴跌？各方表态缓解粮食危机</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①乌克兰外长库列巴：乌克兰正在与合作伙伴的海军开展联合国领导的国际行动，以确保粮食出口的安全贸易路线。</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②俄罗斯总统普京：俄罗斯准备寻找粮食出口不受阻的方案，包括从黑海港口出口乌克兰粮食。</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③法国总统马克龙：希望未来几天或几周内，我们能够就乌克兰与俄罗斯的粮食出口达成解决方案。</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④意大利总理德拉基：欧盟正试图寻求通过铁路运输从乌克兰出口粮食的替代方案，重要的是能在新作物出现之前“快速”行动。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⑤联合国秘书长古特雷斯：俄罗斯必须允许储存在乌克兰港口的粮食安全出口。</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⑥土耳其外长恰武什奥卢：将与拉夫罗夫讨论建立从乌克兰出口农产品的走廊的可能性。</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智利4月铜产量同比下降9.8% </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智利统计局发布数据显示，智利4月铜产量为421742吨，较3月的462234吨减少8.76%，较去年4月的467594吨减少9.8%。</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LME：自6月6日收盘起，下调伦铜、伦锡、伦锌保证金</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伦敦金属交易所（LME）：自6月6日收盘起，下调伦铜保证金至630美元，下调伦锡保证金至4251美元，下调伦锌保证金至315美元。</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国家税务总局：境外机构投资者从事中国境内原油期货交易暂不征收企业所得税</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家税务总局发布稳外贸稳外资税收政策指引。其中提到，对在中国境内未设立机构、场所的，或者虽设立机构、场所但取得的所得与其所设机构、场所没有实际联系的境外机构投资者（包括境外经纪机构），从事中国境内原油期货交易取得的所得（不含实物交割所得），暂不征收企业所得税。对境外经纪机构在境外为境外投资者提供中国境内原油期货经纪业务取得的佣金所得，不属于来源于中国境内的劳务所得，不征收企业所得税。</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美媒：欧佩克考虑将俄罗斯豁免在石油生产协议之外</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据美媒援引消息人士称，欧佩克成员国考虑将俄罗斯豁免在石油生产协议之外，此举可能为沙特阿拉伯、阿联酋生产更多石油打开“大门”。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俄气：不打算切断更多的欧盟天然气买家供应</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周二，俄罗斯天然气工业股份公司表示，已经切断了向荷兰的天然气供应，并将于周三丹麦全民公投前切断对丹麦的天然气供应。据悉该公司不打算切断更多的欧盟天然气买家（供应）。</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欧盟或会对自俄进口的石油提高进口税率</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英国《金融时报》援引欧盟高层消息人士的话报道，若成员国无法就全面禁运俄罗斯石油达成一致，欧盟或会对自俄进口的石油提高进口税率。</w:t>
      </w: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因存在逃废债、涉黑涉恶等行为，43名重大违法违规股东被银保监会“点名”。银保监会表示，下一步将持续加大监管力度，严厉打击违规持股等突出乱象，进一步提高股东违法违规成本，切实提升银行保险机构公司治理水平，增强防范化解金融风险能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据中国证券报，多位银行理财行业人士透露，银行理财公司即将迎来银保监会现场检查。业内人士表示，资管新规过渡期已经结束，对于监管部门检查今年初已有预期，预计内控合规是检查重点。据悉，目前已有银行理财公司开始自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中基协披露，4月证券期货经营机构共备案私募资管产品685只，设立规模265.36亿元，环比减少55.62%，同比减少72.54%。截至4月底，证券期货经营机构私募资管业务规模15.62万亿元（不含社保基金、企业年金），环比增长1.55%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同业存单基金成为新基金发行市场最为火爆的产品。据中国基金报，5月30日才进入首发的第四批同业存单基金就传出热销好消息——景顺长城旗下同业存单基金仅募集两日，就达到百亿级别，或将提前结束募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今年以来国内已有5家头部证券私募机构掉出资管规模“百亿俱乐部”，分别为望正资产、嘉恳资产、煜德投资、同犇资产、赫富投资。截至5月31日，国内私募行业共有109家机构资管规模超过百亿元，其中股票策略私募78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6、中国华融挂牌转让华融信托76.79%股权延期至6月7日。据悉，该股权转让项目自4月29日挂牌转让，转让价格为61.52亿元，项目发布最初截止日期为5月30日。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证券时报，毕业季将至，券商的2022届应届生招聘工作也进入了收尾阶段。整体来看，受访券商普遍表示今年校招规模相比往年有所扩大，未出现公司主动撤岗、解约现象，还有部分券商明确表示“未设置录取比例，考核通过的学生应录尽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据经济参考报，与4月相比，5月基金发行总数减少超10%，但发行份额小幅回升，单只基金的平均发行份额达到今年以来的最高水平。此外，还有超30只新发基金提前结募，其中大部分是因为市场认购火爆。结构方面，5月基金发行市场“债强股弱”，债券型基金发行份额占比超过了85%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据中国证券报，在经历了开年以来的震荡回撤之后，银行理财产品收益率近期修复反弹；部分产品最近一个月年化收益率超过10%；业内人士认为，银行间市场流动性宽裕与债券市场回暖是近期理财产品收益率“跳升”的主要原因；此外，银行理财公司及时优化并调整投资策略、加强市场分析研判也是促进产品净值回升重要因素。</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1、国务院要求，实施住房公积金阶段性支持政策。受疫情影响的企业，可按规定申请缓缴住房公积金，到期后进行补缴。受疫情影响缴存人，不能正常偿还住房公积金贷款的，不作逾期处理，不纳入征信记录。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上海市6月1日起实施住房公积金阶段性支持政策，受疫情影响，3月至12月不能正常归还住房公积金贷款的个人，经认定后不作逾期处理。职工租住市场租赁住房申请提取住房公积金用于支付房租的，每户家庭（含单身家庭）最高月提取限额从2500元调整为3000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2022年度深圳计划供应居住用地365公顷，其中商品住房用地215公顷；土地供应向租赁住房倾斜，单列租赁住房用地计划，计划供应租赁住房用地37公顷，占居住用地10.1%。深圳还将对符合规定商业物业承租人进行租金减免，免收1-3月租金，4-6月租金按照现租金标准减免50%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宁波市出台楼市新政，职工按规定连续缴存住房公积金满2年，首次申请住房公积金贷款购买家庭首套自住住房的，最高贷款额度由60万元/户提高至100万元/户；二孩三孩家庭可以在限购区域再购买1套商品住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据证券时报，自3月率先推出系列地产“救市”政策后，郑州楼市暖风频吹，消息称首套房最低首付已降至20%。业内人士表示，虽然近日确实有部分房企试水低首付，但并未有相关明文政策支撑。此举在受到市场广泛关注后，已被叫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6、网传山东省德州市齐河县出台首套房首付比例1成等稳地产新政，齐河县住建局相关工作人员对此回应称，相关政策文件因为一些原因已废除，需要进一步完善后再重新发布。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7、中指研究院发布数据显示，1-5月，TOP100房企销售额均值为273.9亿元，同比下降50.7%；其中销售额超千亿房企3家，减少12家；超百亿房企70家，减少48家。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8、5月贝壳重点监测的50城二手房增挂牌房源量环比增长12%,二手房供应显著增加。具体来看，东莞5月二手房新增挂牌量环比增长约30%，苏州二手房新增挂牌量超过4月2倍，南京、徐州环比增长超过50%。</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务院明确，加大对民航等受疫情影响较大行业企业纾困支持力度，增加民航应急贷款额度1500亿元，并适当扩大支持范围，支持困难航空企业渡过难关。支持航空业发行2000亿元债券。统筹考虑民航基础设施建设需求等因素，研究解决资金短缺等问题；同时研究提出向有关航空企业注资具体方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2、交通运输部表示，1-4月，完成交通固定资产投资超过9100亿元，同比增长5.7%；下一步将会同有关部门和地方，进一步加大工作力度，采取切实有效的政策措施，全力推进交通基础设施建设。</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3、财政部、税务总局发布《关于减征部分乘用车车辆购置税的通知》，对购置日期在6月1日至12月31日期间内且单车价格（不含增值税）不超过30万元的2.0升及以下排量乘用车，减半征收车辆购置税。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国汽车流通协会公布数据显示，5月中国汽车经销商库存预警指数为56.8%，同比上升3.9个百分点，环比下降9.6个百分点。5月汽车市场较4月有所好转，但汽车消费全面恢复还需要一段时间，汽车流通行业仍处于不景气区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5、工信部公布数据显示，1-4月全国规模以上电子信息制造业增加值同比增长10.7%，增速比一季度下降2个百分点；比同期工业增加值增速高6.7个百分点，但比同期高技术制造业增加值增速低0.8个百分点。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经济参考报，国内国际多座锂矿及其股权拍卖日前均以“天价”成交价落幕，促使锂矿市场景气度持续上扬。今年以来，碳酸锂价格整体仍处高位震荡态势。业内人士表示，受供给端进口不及预期以及需求端生产回暖等因素的叠加影响，预计相关原材料价格将维持高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市场监管总局部署开展“百家电商平台点亮”行动，组织全国31个省（自治区、直辖市）100余家与群众日常生活密切相关电商平台，引导平台和商户“亮照、亮证、亮规则”，共同营造公平、诚信、放心的网络消费环境，促进平台经济规范健康发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文化和旅游部要求，科学精准实施跨省旅游“熔断”机制。跨省团队旅游及“机票+酒店”业务暂停及恢复具体事宜由各省级文化和旅游行政部门通过门户网站及时公布。旅行社及在线旅游企业要密切关注各地疫情动态，及时调整旅游产品和团队行程。</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9、端午假期露营装备预订量同比增长超过两倍；其中房车露营地预订量增长60%；露营产品人均消费价格约为700元，与今年五一、清明假期基本持平。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10、国家药监局表示，对具有临床价值、患者急需的儿童用药优先审评审批，开通儿童药绿色通道，对研发企业主动靠前服务，安排项目管理人专人专项督导审评任务进度，推动儿童药加快审评上市。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11、广东省各公立医疗机构以及自愿参加报量的医保定点民营医院、医保定点零售药店，将全面执行国家胰岛素集中带量采购中选结果。本次国家集采胰岛素共有16个通用名品种中选，中选产品价格平均降幅48%。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12、奥凯航空、中联航等航司宣布，6月5日起将调整国内航线旅客运输燃油附加费征收标准，调整后的标准为：成人旅客800公里（含）以下航线每位旅客收取80元燃油附加费，800公里以上航线每位旅客收取140元。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13、《北京市单用途预付卡管理条例》6月1日起施行。条例明确，消费者自购买预付卡之日起7日内未兑付商品或者服务的，有权要求退卡，经营者应当于5日内一次性全额退回预收款。</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14、近年来网络视听行业蓬勃发展，观看网络剧片已成为人们重要的休闲娱乐方式。6月1日起，国家广播电视总局将对网络剧片正式发放行政许可，这意味着网络剧、网络电影正式拥有属于自己的“网标”。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15、国内首单外资班轮船公司沿海捎带业务正式落地。27个从国外进口到中国集装箱在上海洋山深水港码头被装上“美若马士基”轮，涉及转关商品为青豌豆，重725吨，将于6月1日从洋山三期码头出发，运往最终目的地天津港。</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1、美联储：委员会成员注意到劳动力市场紧张，工资上涨； 委员会成员认为经济活动稳定，支出强劲；美联储12家分行理事均支持加息50个基点。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2、欧洲央行管委kazimir预计，7月将加息25个基点，但考虑到创纪录的通胀，可能在9月讨论加息50个基点；中性利率更接近2%而不是1%。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欧洲央行管委维斯科表示，经济形势发生深刻变化，因此放弃负关键利率是合适的；鉴于不确定性，必须逐步提高利率；加息步伐必须有序。维斯科同时呼吁成立欧盟基金，在市场上筹集资金购买欧盟成员国部分债务股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4、法国央行行长维勒鲁瓦表示，5月份通胀数据证实对增长预期，以及货币政策逐步正常化必要性；政策正常化要渐进、坚决，加息应会提高法国银行盈利能力，增加净利润率。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5、阿联酋与以色列签署全面经济伙伴关系协议，协议将在五年内推动双边非石油贸易额超过100亿美元。该项自由贸易协议为以色列与阿拉伯国家之间签署的第一个贸易协议。</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日本政府在内阁会议上敲定2022年版《制造业白皮书》，要求强化日本半导体竞争力，并在可进行大量数据通信的第五代（5G）移动通信系统以及可急速提升计算处理速度量子计算机等数字技术方面提升竞争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7、据央视新闻，俄罗斯联邦储蓄银行（Sberbank）表示，目前处于正常运行状态，被排除在环球银行间金融通信协会（SWIFT）支付系统之外不会影响其国际结算。</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8、受俄乌冲突影响，能源市场持续动荡，食品价格飙升，欧元区5月CPI初值同比上涨8.1%，再创新高；能源价格同比上涨39.2%，是推升通胀主因。</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9、美国5月芝加哥PMI为60.3，预期55，前值56.4。5月谘商会消费者信心指数 106.4，预期 103.8，前值 107.3。3月FHFA房价指数环比升1.5%，预期2.0%；S&amp;P/CS20座大城市房价指数同比升21.17%，预期20.0%。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10、德国5月季调后失业率5%，预期及前值均为5%；季调后失业人数下降0.4万，预期下降1.6万，前值降1.3万。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11、法国第一季度GDP终值同比上升4.5%，预期及初值均为5.3%；环比下降0.2%，预期及初值均为持平。法国5月CPI同比上涨5.2%，预期5%，前值4.8%；PPI上涨27.8%，前值26.5%。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12、瑞士4月实际零售销售同比下降6%，前值降6.6%。瑞士4月贸易帐顺差41.26亿瑞郎，季调后实际出口环比下降0.1%，前值降8.2%；季调后实际进口下降3.8%，前值升1.2%。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13、日本4月失业率为2.5%，创2020年3月以来新低，预期2.6%。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14、巴克莱：预计欧洲央行明年将加息175个基点，这将是该行自2000年以来最激进的紧缩周期。</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多数上涨，新濠影汇涨52.63%，普普文化涨21.9%，瑞思学科英语涨21.24%，满帮集团涨16.92%，贝壳涨16.28%，天美生物涨14.59%，金山云涨14.49%；跌幅方面，农米良品跌18.06%，丽翔教育跌15.57%，乐信跌14.77%，中国绿色农业跌8.58%；中概新能源汽车股全线上涨，蔚来汽车涨5.19%，小鹏汽车涨4.31%，理想汽车涨3.25%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据中国证券报，美股科技股空头今年赚翻。截至上周四美股收盘，年初以来做空者从以科技股为主的纳斯达克100指数上获得625亿美元已实现和未实现收益。其中，做空特斯拉投资者大赚约82亿美元。特斯拉CEO马斯克称，微软创始人比尔・盖茨持有数十亿美元特斯拉空头头寸。</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3、苹果公司近日官宣，苹果一年一度的线上开发者大会WWDC22将于北京时间6月7日1时召开。苹果活动海报显示，其中一名开发者佩戴一副眼镜。行业分析人士表示，这可能说明苹果将在大会上推出首款VR/AR眼镜。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4、阿斯麦宣布，将在康涅狄格州威尔顿市扩建2亿美元半导体工厂。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5、贝壳找房第一季度净营收125亿元，同比下滑39.4%；不按美国通用会计准则，经调整后净利润为2800万元。贝壳宣布拟建立股份回购计划，将在12个月内回购最多10亿美元ADS（美国存托凭证）。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6、伦敦证券交易所表示，俄罗斯天然气工业股份公司证券已被取消在伦交所交易。</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法拉利官方回应“加价提车事件”称，调价是因全球原材料、能源及物流等价格上涨导致，涉及国内所有门店下订单未交车所有客户。南京市监局对此表示，合同里提到加价要取得购车人同意，目前已介入调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8、知情人士称，华润集团旗下私募股权投资部门华润资本正考虑将新西兰上市的蜂蜜生产商康维他（Comvita）私有化。消息人士称，华润资本已与银行就为这起潜在收购提供融资进行初步谈判。</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惠普2022年第二财季调整后每股收益1.08美元，分析师预期1.05美元；第二财季净销售165亿美元，分析师预期161.4亿美元；第二财季调整后运营利润率8.8%，分析师预期8.7%；预计第三财季调整后每股收益1.03-1.08美元，分析师预期1.04美元；预计全年调整后每股收益4.24-4.38美元，公司之前预计为4.18-4.38美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涨跌不一，能源化工品表现分化，燃油涨2.04%，甲醇涨0.89%，LPG跌0.97%，PVC跌0.8%。黑色系全线上涨，焦煤涨2.2%，动力煤涨1.55%，焦炭涨1.42%。农产品多数下跌，豆粕跌1.81%，菜粕跌1.8%，豆二跌1.41%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务院要求，健全完善粮食收益保障等政策。针对当前农资价格依然高企情况，在前期已发放200亿元农资补贴的基础上，及时发放第二批100亿元农资补贴，弥补成本上涨带来的种粮收益下降。积极做好钾肥进口工作。完善最低收购价执行预案，落实好2022年适当提高稻谷、小麦最低收购价水平政策要求，根据市场形势及时启动收购，保护农民种粮积极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国务院提出，抓紧推动实施一批能源项目。提高煤炭储备能力和水平，用好支持煤炭清洁高效利用专项再贷款和合格银行贷款。加强原油等能源资源储备能力，谋划储备项目并尽早开工。推进政府储备项目建设，已建成项目尽快具备储备能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4、郑商所宣布，免收全部会员单位2022年度年会费；免收全部会员单位现有使用中席位2022年度席位使用费，原有席位使用费减收政策继续执行。</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中期协公布数据显示，以单边计算，5月全国期货交易市场成交量为4.71亿手，同比下降25.92%；成交额40.10万亿元，下降19.49%。1-5月全国期货市场累计成交量为24.74亿手，累计成交额209.56万亿元，同比分别下降20.84%和12.44%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今年以来，中国石油、中国石化等石油石化企业加大勘探力度，通过稳存量、挖潜能，积极统筹资源，多管齐下保供应。1-4月，我国陆上主要油气产地油气产量稳中有升。目前，长庆油田日均生产天然气超1.3亿立方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7、欧盟27个成员国同意终止俄罗斯石油海运进口，通过管道交付的俄石油将继续流动。欧佩克代表称，尽管对俄罗斯石油实施禁令，欧佩克+可能继续增产计划。</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8、消息人士称，欧佩克成员国考虑将俄罗斯豁免在石油生产协议之外，此举可能为沙特阿拉伯、阿联酋生产更多石油打开“大门”。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鄂尔多斯市煤炭增产保供稳价工作实施方案》明确，要把煤炭增产稳供作为当前最重要任务抓紧抓实。各旗区人民政府、市直各有关部门要全力以赴做好煤炭增产保供稳价各项任务，全力保障煤炭持续稳定生产供应。</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10、印尼将6月毛棕榈油出口参考价上调至1700.12美元/吨， 5月为1657.39美元/吨；毛棕榈油出口税维持在200美元/吨不变，出口专项税维持在375美元/吨不变。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11、美国能源信息署（EIA）：3月美国原油和石油产品供应量增至2050万桶/日，为去年12月以来的最高水平。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12、波罗的海干散货指数下跌0.19%报2566点，为连续第6日下跌；5月累计上涨6.7%，为连续第4个月上涨。</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现券期货延续弱势。银行间主要利率债收益率普遍明显上行，中短券上行幅度较大；国债期货全线收跌，10年期主力合约跌0.22%，5年期主力合约跌0.19%。月末最后一个交易日银行间资金面仍供给无忧，惟隔夜和七天利率上行明显。地产债涨跌不一，“20龙控01”涨超9%，“21金科01”跌超19%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2、中证转债指数收涨0.25%，成交额912.69亿元；金陵转债涨近20%，山石转债涨超14%，天康转债涨超10%，博杰转债涨超7%；城市转债跌超9%，卡倍转债跌近7%，华钰转债跌逾6%。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国务院表示，继续支持和鼓励金融机构发行金融债券，建立“三农”、小微企业、绿色、双创金融债券绿色通道，为重点领域企业提供融资支持。督促指导银行间债券市场和交易所债券市场各基础设施全面梳理收费项目，对民营企业债券融资交易费用能免尽免，进一步释放支持民营企业信号。</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国家外汇局发布通知，进一步拓宽企业跨境融资渠道，允许上海市分局等试点分局开展高新技术和“专精特新”企业跨境融资便利化试点，允许符合条件相关企业在一定额度内自主借用外债。前期已开展试点的分局辖内符合条件高新技术和“专精特新”企业，可在不超过等值1000万美元额度内自主借用外债。</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上交所要求，推动债券市场健康发展。健全公司债券发行审核机制，有序发挥融资功能；持续加强交易所债券市场投资端建设，完善债券市场产品和风险管理工具；优化交易所债券市场违约风险防范化解机制；提升债券市场对外开放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中信固收指出，6月份债券市场面临最大基本面变化是局部疫情扫尾和资金面可能收敛。在经济基本面修复向上，叠加地方债供给压力陡增、资金面逐步收敛多重利空因素下，6月债市面临逆风环境，需要警惕10年国债收益率利率回调和收益率曲线上移风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7、上海票据交易所发布5月商业汇票统计日报显示，5月30日，票交所承兑票据170765张，承兑金额1524.48亿元；贴现票据43707张，贴现金额802.7亿元；交易3781笔，交易金额达4599亿元。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债券重大事件】首批科创债成功发行，三峡集团科创债投标量达10万亿；中债民企支持工具首单房企凭证成功创设，新城控股完成10亿中票发行；蓝光发展累计到期未能偿还债务本息338.11亿元；正荣地产未能按计划支付票据利息，正多措并举解决流动性压力；联合资信下调中铝国际主体长期信用等级至AA；苏宁易购公司债券将全部偿付完毕；“20金科03”启动撤销回售业务；“22中拓01”取消发行。</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1、周二在岸人民币兑美元16:30收盘报6.6578，较上一交易日上涨70个基点。当日人民币兑美元中间价报6.6607，调升441个基点。</w:t>
      </w:r>
    </w:p>
    <w:p>
      <w:pPr>
        <w:keepNext w:val="0"/>
        <w:keepLines w:val="0"/>
        <w:widowControl/>
        <w:suppressLineNumbers w:val="0"/>
        <w:jc w:val="left"/>
      </w:pPr>
      <w:r>
        <w:rPr>
          <w:rFonts w:hint="eastAsia" w:ascii="仿宋" w:hAnsi="仿宋" w:eastAsia="仿宋" w:cs="仿宋"/>
          <w:sz w:val="24"/>
          <w:szCs w:val="28"/>
        </w:rPr>
        <w:t>2、俄罗斯央行表示，在西方冻结俄罗斯部分储备后，美元、欧元作为储备货币作用将下降；过去几周卢布走强原因在于进口下降，俄罗斯央行将采取特别措施，减少外汇在俄罗斯作用。</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pPr>
      <w:bookmarkStart w:id="0" w:name="_GoBack"/>
      <w:r>
        <w:rPr>
          <w:rFonts w:ascii="Microsoft YaHei" w:hAnsi="Microsoft YaHei" w:eastAsia="Microsoft YaHei" w:cs="Microsoft YaHei"/>
          <w:b w:val="0"/>
          <w:i w:val="0"/>
          <w:caps w:val="0"/>
          <w:color w:val="333333"/>
          <w:spacing w:val="0"/>
          <w:kern w:val="0"/>
          <w:sz w:val="32"/>
          <w:szCs w:val="32"/>
          <w:u w:val="none"/>
          <w:bdr w:val="none" w:color="auto" w:sz="0" w:space="0"/>
          <w:lang w:val="en-US" w:eastAsia="zh-CN" w:bidi="ar"/>
        </w:rPr>
        <w:drawing>
          <wp:inline distT="0" distB="0" distL="114300" distR="114300">
            <wp:extent cx="5240020" cy="8700135"/>
            <wp:effectExtent l="0" t="0" r="17780" b="1206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40020" cy="8700135"/>
                    </a:xfrm>
                    <a:prstGeom prst="rect">
                      <a:avLst/>
                    </a:prstGeom>
                    <a:noFill/>
                    <a:ln w="9525">
                      <a:noFill/>
                    </a:ln>
                  </pic:spPr>
                </pic:pic>
              </a:graphicData>
            </a:graphic>
          </wp:inline>
        </w:drawing>
      </w:r>
      <w:bookmarkEnd w:id="0"/>
    </w:p>
    <w:p>
      <w:pPr>
        <w:keepNext w:val="0"/>
        <w:keepLines w:val="0"/>
        <w:widowControl/>
        <w:suppressLineNumbers w:val="0"/>
        <w:jc w:val="left"/>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6B9E8"/>
    <w:multiLevelType w:val="singleLevel"/>
    <w:tmpl w:val="6296B9E8"/>
    <w:lvl w:ilvl="0" w:tentative="0">
      <w:start w:val="1"/>
      <w:numFmt w:val="bullet"/>
      <w:lvlText w:val=""/>
      <w:lvlJc w:val="left"/>
      <w:pPr>
        <w:ind w:left="420" w:leftChars="0" w:hanging="420" w:firstLineChars="0"/>
      </w:pPr>
      <w:rPr>
        <w:rFonts w:hint="default" w:ascii="Wingdings" w:hAnsi="Wingdings"/>
      </w:rPr>
    </w:lvl>
  </w:abstractNum>
  <w:abstractNum w:abstractNumId="2">
    <w:nsid w:val="6296BB01"/>
    <w:multiLevelType w:val="singleLevel"/>
    <w:tmpl w:val="6296BB01"/>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8F7ACD"/>
    <w:rsid w:val="37D77E59"/>
    <w:rsid w:val="5DEFECEF"/>
    <w:rsid w:val="5F7ED7DA"/>
    <w:rsid w:val="657D161F"/>
    <w:rsid w:val="67E4651E"/>
    <w:rsid w:val="6F3F6644"/>
    <w:rsid w:val="6FBD827A"/>
    <w:rsid w:val="6FF3D9E0"/>
    <w:rsid w:val="76DF05C7"/>
    <w:rsid w:val="7AEBE989"/>
    <w:rsid w:val="7DFE235B"/>
    <w:rsid w:val="7FB765BD"/>
    <w:rsid w:val="7FD59CB2"/>
    <w:rsid w:val="7FEF5DAA"/>
    <w:rsid w:val="937C7D1B"/>
    <w:rsid w:val="B3FF25F0"/>
    <w:rsid w:val="B7EB2313"/>
    <w:rsid w:val="B7F17ECC"/>
    <w:rsid w:val="DDFFD333"/>
    <w:rsid w:val="EF3E958F"/>
    <w:rsid w:val="EFFF22C8"/>
    <w:rsid w:val="F7FFDF52"/>
    <w:rsid w:val="F99FC0A2"/>
    <w:rsid w:val="F9CF77D7"/>
    <w:rsid w:val="FEDD926B"/>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11601</Words>
  <Characters>12806</Characters>
  <Lines>71</Lines>
  <Paragraphs>19</Paragraphs>
  <ScaleCrop>false</ScaleCrop>
  <LinksUpToDate>false</LinksUpToDate>
  <CharactersWithSpaces>12866</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2022-05-10T17:31:00Z</dcterms:created>
  <dc:creator>Administrator</dc:creator>
  <cp:lastModifiedBy>apple</cp:lastModifiedBy>
  <cp:lastPrinted>2022-05-10T17:36:00Z</cp:lastPrinted>
  <dcterms:modified xsi:type="dcterms:W3CDTF">2022-06-01T08:42:07Z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