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6"/>
        <w:jc w:val="center"/>
        <w:rPr>
          <w:rFonts w:ascii="微软雅黑" w:hAnsi="微软雅黑" w:eastAsia="微软雅黑" w:cs="Calibri"/>
          <w:sz w:val="22"/>
          <w:szCs w:val="24"/>
        </w:rPr>
      </w:pPr>
      <w:r>
        <w:rPr>
          <w:rFonts w:ascii="微软雅黑" w:hAnsi="微软雅黑" w:eastAsia="微软雅黑" w:cs="Calibri"/>
          <w:b/>
          <w:color w:val="112845"/>
          <w:sz w:val="44"/>
        </w:rPr>
        <w:t>资讯早间报</w:t>
      </w:r>
      <w:r>
        <w:rPr>
          <w:rFonts w:ascii="微软雅黑" w:hAnsi="微软雅黑" w:eastAsia="微软雅黑" w:cs="Calibri"/>
          <w:sz w:val="22"/>
          <w:szCs w:val="24"/>
        </w:rPr>
        <w:t xml:space="preserve">                                            </w:t>
      </w:r>
    </w:p>
    <w:p>
      <w:pPr>
        <w:pStyle w:val="16"/>
        <w:rPr>
          <w:rFonts w:ascii="微软雅黑" w:hAnsi="微软雅黑" w:eastAsia="微软雅黑" w:cs="Calibri"/>
          <w:b/>
          <w:i/>
          <w:sz w:val="22"/>
          <w:szCs w:val="24"/>
        </w:rPr>
      </w:pPr>
      <w:r>
        <w:rPr>
          <w:rFonts w:ascii="微软雅黑" w:hAnsi="微软雅黑" w:eastAsia="微软雅黑" w:cs="Calibri"/>
          <w:b/>
          <w:sz w:val="22"/>
          <w:szCs w:val="24"/>
        </w:rPr>
        <w:t xml:space="preserve">冠通研究 </w:t>
      </w:r>
      <w:r>
        <w:rPr>
          <w:rFonts w:ascii="微软雅黑" w:hAnsi="微软雅黑" w:eastAsia="微软雅黑" w:cs="Calibri"/>
          <w:b/>
          <w:sz w:val="22"/>
          <w:szCs w:val="24"/>
        </w:rPr>
        <w:fldChar w:fldCharType="begin"/>
      </w:r>
      <w:r>
        <w:rPr>
          <w:rFonts w:ascii="微软雅黑" w:hAnsi="微软雅黑" w:eastAsia="微软雅黑" w:cs="Calibri"/>
          <w:b/>
          <w:sz w:val="22"/>
          <w:szCs w:val="24"/>
        </w:rPr>
        <w:instrText xml:space="preserve"> </w:instrText>
      </w:r>
      <w:r>
        <w:rPr>
          <w:rFonts w:hint="eastAsia" w:ascii="微软雅黑" w:hAnsi="微软雅黑" w:eastAsia="微软雅黑" w:cs="Calibri"/>
          <w:b/>
          <w:sz w:val="22"/>
          <w:szCs w:val="24"/>
        </w:rPr>
        <w:instrText xml:space="preserve">TIME \@ "yyyy/M/d"</w:instrText>
      </w:r>
      <w:r>
        <w:rPr>
          <w:rFonts w:ascii="微软雅黑" w:hAnsi="微软雅黑" w:eastAsia="微软雅黑" w:cs="Calibri"/>
          <w:b/>
          <w:sz w:val="22"/>
          <w:szCs w:val="24"/>
        </w:rPr>
        <w:instrText xml:space="preserve"> </w:instrText>
      </w:r>
      <w:r>
        <w:rPr>
          <w:rFonts w:ascii="微软雅黑" w:hAnsi="微软雅黑" w:eastAsia="微软雅黑" w:cs="Calibri"/>
          <w:b/>
          <w:sz w:val="22"/>
          <w:szCs w:val="24"/>
        </w:rPr>
        <w:fldChar w:fldCharType="separate"/>
      </w:r>
      <w:r>
        <w:rPr>
          <w:rFonts w:hint="eastAsia" w:ascii="微软雅黑" w:hAnsi="微软雅黑" w:eastAsia="微软雅黑" w:cs="Calibri"/>
          <w:b/>
          <w:sz w:val="22"/>
          <w:szCs w:val="24"/>
        </w:rPr>
        <w:t>2022/5/31</w:t>
      </w:r>
      <w:r>
        <w:rPr>
          <w:rFonts w:ascii="微软雅黑" w:hAnsi="微软雅黑" w:eastAsia="微软雅黑" w:cs="Calibri"/>
          <w:b/>
          <w:sz w:val="22"/>
          <w:szCs w:val="24"/>
        </w:rPr>
        <w:fldChar w:fldCharType="end"/>
      </w:r>
    </w:p>
    <w:p>
      <w:pPr>
        <w:jc w:val="center"/>
        <w:rPr>
          <w:rFonts w:ascii="微软雅黑" w:hAnsi="微软雅黑" w:eastAsia="微软雅黑" w:cs="Calibri"/>
          <w:b/>
          <w:sz w:val="22"/>
          <w:szCs w:val="24"/>
          <w:u w:val="single"/>
        </w:rPr>
      </w:pPr>
    </w:p>
    <w:p>
      <w:pPr>
        <w:spacing w:after="120" w:line="288" w:lineRule="auto"/>
        <w:jc w:val="center"/>
        <w:rPr>
          <w:rFonts w:hint="eastAsia" w:ascii="微软雅黑" w:hAnsi="微软雅黑" w:eastAsia="微软雅黑" w:cs="Calibri"/>
          <w:b/>
          <w:smallCaps/>
          <w:color w:val="112845"/>
          <w:sz w:val="32"/>
          <w:szCs w:val="36"/>
          <w:lang w:val="en-US" w:eastAsia="zh-Hans"/>
        </w:rPr>
      </w:pPr>
      <w:r>
        <w:rPr>
          <w:rFonts w:hint="eastAsia" w:ascii="微软雅黑" w:hAnsi="微软雅黑" w:eastAsia="微软雅黑" w:cs="Calibri"/>
          <w:b/>
          <w:smallCaps/>
          <w:color w:val="112845"/>
          <w:sz w:val="32"/>
          <w:szCs w:val="36"/>
          <w:lang w:val="en-US" w:eastAsia="zh-Hans"/>
        </w:rPr>
        <w:t>市场走势</w:t>
      </w:r>
    </w:p>
    <w:p>
      <w:pPr>
        <w:spacing w:after="120" w:line="288" w:lineRule="auto"/>
        <w:ind w:firstLine="480"/>
        <w:jc w:val="left"/>
        <w:rPr>
          <w:rFonts w:hint="default" w:ascii="仿宋" w:hAnsi="仿宋" w:eastAsia="仿宋" w:cs="仿宋"/>
          <w:sz w:val="24"/>
          <w:szCs w:val="28"/>
        </w:rPr>
      </w:pPr>
      <w:r>
        <w:rPr>
          <w:rFonts w:hint="default" w:ascii="仿宋" w:hAnsi="仿宋" w:eastAsia="仿宋" w:cs="仿宋"/>
          <w:sz w:val="24"/>
          <w:szCs w:val="28"/>
        </w:rPr>
        <w:t xml:space="preserve">  国内期货主力合约多数上涨。焦煤、铁矿、焦炭、乙二醇（EG）、沪锡涨超2%，菜粕涨近2%。跌幅方面，动力煤、纸浆跌超3%，燃料油跌近3%。</w:t>
      </w:r>
    </w:p>
    <w:p>
      <w:pPr>
        <w:spacing w:after="120" w:line="288" w:lineRule="auto"/>
        <w:ind w:firstLine="480"/>
        <w:jc w:val="left"/>
        <w:rPr>
          <w:rFonts w:hint="default" w:ascii="仿宋" w:hAnsi="仿宋" w:eastAsia="仿宋" w:cs="仿宋"/>
          <w:sz w:val="24"/>
          <w:szCs w:val="28"/>
        </w:rPr>
      </w:pPr>
      <w:r>
        <w:rPr>
          <w:rFonts w:hint="default" w:ascii="仿宋" w:hAnsi="仿宋" w:eastAsia="仿宋" w:cs="仿宋"/>
          <w:sz w:val="24"/>
          <w:szCs w:val="28"/>
        </w:rPr>
        <w:t>国际期货主力合约多数上涨。LME金属方面，伦铜涨0.70%，伦铝涨0.30%，伦锌涨1.60%，伦铅涨0.95%，伦镍涨2.97%。</w:t>
      </w:r>
    </w:p>
    <w:p>
      <w:pPr>
        <w:spacing w:after="120" w:line="288" w:lineRule="auto"/>
        <w:ind w:firstLine="480"/>
        <w:jc w:val="center"/>
        <w:rPr>
          <w:rFonts w:ascii="微软雅黑" w:hAnsi="微软雅黑" w:eastAsia="微软雅黑" w:cs="Calibri"/>
          <w:b/>
          <w:smallCaps/>
          <w:color w:val="112845"/>
          <w:sz w:val="32"/>
          <w:szCs w:val="36"/>
        </w:rPr>
      </w:pPr>
    </w:p>
    <w:p>
      <w:pPr>
        <w:spacing w:after="120" w:line="288" w:lineRule="auto"/>
        <w:ind w:firstLine="480"/>
        <w:jc w:val="center"/>
        <w:rPr>
          <w:rFonts w:ascii="微软雅黑" w:hAnsi="微软雅黑" w:eastAsia="微软雅黑" w:cs="Calibri"/>
          <w:b/>
          <w:smallCaps/>
          <w:color w:val="112845"/>
          <w:sz w:val="32"/>
          <w:szCs w:val="36"/>
        </w:rPr>
      </w:pPr>
      <w:r>
        <w:rPr>
          <w:rFonts w:ascii="微软雅黑" w:hAnsi="微软雅黑" w:eastAsia="微软雅黑" w:cs="Calibri"/>
          <w:b/>
          <w:smallCaps/>
          <w:color w:val="112845"/>
          <w:sz w:val="32"/>
          <w:szCs w:val="36"/>
        </w:rPr>
        <w:t>重要资讯</w:t>
      </w:r>
    </w:p>
    <w:p>
      <w:pPr>
        <w:spacing w:after="120" w:line="288" w:lineRule="auto"/>
        <w:jc w:val="center"/>
        <w:rPr>
          <w:rFonts w:ascii="仿宋" w:hAnsi="仿宋" w:eastAsia="仿宋" w:cs="仿宋"/>
          <w:b/>
          <w:bCs/>
          <w:sz w:val="24"/>
          <w:szCs w:val="28"/>
        </w:rPr>
      </w:pPr>
      <w:r>
        <w:rPr>
          <w:rFonts w:hint="eastAsia" w:ascii="仿宋" w:hAnsi="仿宋" w:eastAsia="仿宋" w:cs="仿宋"/>
          <w:b/>
          <w:bCs/>
          <w:sz w:val="24"/>
          <w:szCs w:val="28"/>
        </w:rPr>
        <w:t>【宏观资讯】</w:t>
      </w:r>
    </w:p>
    <w:p>
      <w:pPr>
        <w:spacing w:after="120" w:line="288" w:lineRule="auto"/>
        <w:jc w:val="left"/>
        <w:rPr>
          <w:rFonts w:hint="eastAsia" w:ascii="仿宋" w:hAnsi="仿宋" w:eastAsia="仿宋" w:cs="仿宋"/>
          <w:sz w:val="24"/>
          <w:szCs w:val="28"/>
        </w:rPr>
      </w:pPr>
    </w:p>
    <w:p>
      <w:pPr>
        <w:numPr>
          <w:ilvl w:val="0"/>
          <w:numId w:val="1"/>
        </w:numPr>
        <w:spacing w:after="120" w:line="288" w:lineRule="auto"/>
        <w:ind w:left="420" w:leftChars="0" w:hanging="420" w:firstLineChars="0"/>
        <w:jc w:val="left"/>
        <w:rPr>
          <w:rFonts w:hint="eastAsia" w:ascii="仿宋" w:hAnsi="仿宋" w:eastAsia="仿宋" w:cs="仿宋"/>
          <w:b/>
          <w:bCs/>
          <w:sz w:val="24"/>
          <w:szCs w:val="28"/>
        </w:rPr>
      </w:pPr>
      <w:r>
        <w:rPr>
          <w:rFonts w:hint="eastAsia" w:ascii="仿宋" w:hAnsi="仿宋" w:eastAsia="仿宋" w:cs="仿宋"/>
          <w:b/>
          <w:bCs/>
          <w:sz w:val="24"/>
          <w:szCs w:val="28"/>
        </w:rPr>
        <w:t>大商所发布关于加强2022年端午节休市期间风险管理的通知</w:t>
      </w:r>
    </w:p>
    <w:p>
      <w:pPr>
        <w:spacing w:after="120" w:line="288" w:lineRule="auto"/>
        <w:jc w:val="left"/>
        <w:rPr>
          <w:rFonts w:hint="eastAsia" w:ascii="仿宋" w:hAnsi="仿宋" w:eastAsia="仿宋" w:cs="仿宋"/>
          <w:sz w:val="24"/>
          <w:szCs w:val="28"/>
        </w:rPr>
      </w:pPr>
    </w:p>
    <w:p>
      <w:pPr>
        <w:spacing w:after="120" w:line="288" w:lineRule="auto"/>
        <w:jc w:val="left"/>
        <w:rPr>
          <w:rFonts w:hint="eastAsia" w:ascii="仿宋" w:hAnsi="仿宋" w:eastAsia="仿宋" w:cs="仿宋"/>
          <w:sz w:val="24"/>
          <w:szCs w:val="28"/>
        </w:rPr>
      </w:pPr>
      <w:r>
        <w:rPr>
          <w:rFonts w:hint="eastAsia" w:ascii="仿宋" w:hAnsi="仿宋" w:eastAsia="仿宋" w:cs="仿宋"/>
          <w:sz w:val="24"/>
          <w:szCs w:val="28"/>
        </w:rPr>
        <w:t>2022年端午节休市期间，我所各品种期货合约涨跌停板幅度和交易保证金水平保持不变。请各会员单位做好对客户的风险提示工作，加强市场风险防范，确保市场平稳运行。</w:t>
      </w:r>
    </w:p>
    <w:p>
      <w:pPr>
        <w:spacing w:after="120" w:line="288" w:lineRule="auto"/>
        <w:jc w:val="left"/>
        <w:rPr>
          <w:rFonts w:hint="eastAsia" w:ascii="仿宋" w:hAnsi="仿宋" w:eastAsia="仿宋" w:cs="仿宋"/>
          <w:sz w:val="24"/>
          <w:szCs w:val="28"/>
        </w:rPr>
      </w:pPr>
    </w:p>
    <w:p>
      <w:pPr>
        <w:numPr>
          <w:ilvl w:val="0"/>
          <w:numId w:val="1"/>
        </w:numPr>
        <w:spacing w:after="120" w:line="288" w:lineRule="auto"/>
        <w:ind w:left="420" w:leftChars="0" w:hanging="420" w:firstLineChars="0"/>
        <w:jc w:val="left"/>
        <w:rPr>
          <w:rFonts w:hint="eastAsia" w:ascii="仿宋" w:hAnsi="仿宋" w:eastAsia="仿宋" w:cs="仿宋"/>
          <w:b/>
          <w:bCs/>
          <w:sz w:val="24"/>
          <w:szCs w:val="28"/>
        </w:rPr>
      </w:pPr>
      <w:r>
        <w:rPr>
          <w:rFonts w:hint="eastAsia" w:ascii="仿宋" w:hAnsi="仿宋" w:eastAsia="仿宋" w:cs="仿宋"/>
          <w:b/>
          <w:bCs/>
          <w:sz w:val="24"/>
          <w:szCs w:val="28"/>
        </w:rPr>
        <w:t>国家发展改革委、国家能源局：加快构建清洁低碳、安全高效的能源体系</w:t>
      </w:r>
    </w:p>
    <w:p>
      <w:pPr>
        <w:spacing w:after="120" w:line="288" w:lineRule="auto"/>
        <w:jc w:val="left"/>
        <w:rPr>
          <w:rFonts w:hint="eastAsia" w:ascii="仿宋" w:hAnsi="仿宋" w:eastAsia="仿宋" w:cs="仿宋"/>
          <w:sz w:val="24"/>
          <w:szCs w:val="28"/>
        </w:rPr>
      </w:pPr>
    </w:p>
    <w:p>
      <w:pPr>
        <w:spacing w:after="120" w:line="288" w:lineRule="auto"/>
        <w:jc w:val="left"/>
        <w:rPr>
          <w:rFonts w:hint="eastAsia" w:ascii="仿宋" w:hAnsi="仿宋" w:eastAsia="仿宋" w:cs="仿宋"/>
          <w:sz w:val="24"/>
          <w:szCs w:val="28"/>
        </w:rPr>
      </w:pPr>
      <w:r>
        <w:rPr>
          <w:rFonts w:hint="eastAsia" w:ascii="仿宋" w:hAnsi="仿宋" w:eastAsia="仿宋" w:cs="仿宋"/>
          <w:sz w:val="24"/>
          <w:szCs w:val="28"/>
        </w:rPr>
        <w:t>近日，国务院办公厅转发国家发展改革委、国家能源局《关于促进新时代新能源高质量发展的实施方案》（以下简称《实施方案》），要实现到2030年风电、太阳能发电总装机容量达到12亿千瓦以上的目标，加快构建清洁低碳、安全高效的能源体系。</w:t>
      </w:r>
    </w:p>
    <w:p>
      <w:pPr>
        <w:spacing w:after="120" w:line="288" w:lineRule="auto"/>
        <w:jc w:val="left"/>
        <w:rPr>
          <w:rFonts w:hint="eastAsia" w:ascii="仿宋" w:hAnsi="仿宋" w:eastAsia="仿宋" w:cs="仿宋"/>
          <w:sz w:val="24"/>
          <w:szCs w:val="28"/>
        </w:rPr>
      </w:pPr>
    </w:p>
    <w:p>
      <w:pPr>
        <w:numPr>
          <w:ilvl w:val="0"/>
          <w:numId w:val="1"/>
        </w:numPr>
        <w:spacing w:after="120" w:line="288" w:lineRule="auto"/>
        <w:ind w:left="420" w:leftChars="0" w:hanging="420" w:firstLineChars="0"/>
        <w:jc w:val="left"/>
        <w:rPr>
          <w:rFonts w:hint="eastAsia" w:ascii="仿宋" w:hAnsi="仿宋" w:eastAsia="仿宋" w:cs="仿宋"/>
          <w:b/>
          <w:bCs/>
          <w:sz w:val="24"/>
          <w:szCs w:val="28"/>
        </w:rPr>
      </w:pPr>
      <w:r>
        <w:rPr>
          <w:rFonts w:hint="eastAsia" w:ascii="仿宋" w:hAnsi="仿宋" w:eastAsia="仿宋" w:cs="仿宋"/>
          <w:b/>
          <w:bCs/>
          <w:sz w:val="24"/>
          <w:szCs w:val="28"/>
        </w:rPr>
        <w:t>财政部：目标到2025年有利于绿色低碳发展的财税政策框架初步建立</w:t>
      </w:r>
    </w:p>
    <w:p>
      <w:pPr>
        <w:spacing w:after="120" w:line="288" w:lineRule="auto"/>
        <w:jc w:val="left"/>
        <w:rPr>
          <w:rFonts w:hint="eastAsia" w:ascii="仿宋" w:hAnsi="仿宋" w:eastAsia="仿宋" w:cs="仿宋"/>
          <w:sz w:val="24"/>
          <w:szCs w:val="28"/>
        </w:rPr>
      </w:pPr>
    </w:p>
    <w:p>
      <w:pPr>
        <w:spacing w:after="120" w:line="288" w:lineRule="auto"/>
        <w:jc w:val="left"/>
        <w:rPr>
          <w:rFonts w:hint="eastAsia" w:ascii="仿宋" w:hAnsi="仿宋" w:eastAsia="仿宋" w:cs="仿宋"/>
          <w:sz w:val="24"/>
          <w:szCs w:val="28"/>
        </w:rPr>
      </w:pPr>
      <w:r>
        <w:rPr>
          <w:rFonts w:hint="eastAsia" w:ascii="仿宋" w:hAnsi="仿宋" w:eastAsia="仿宋" w:cs="仿宋"/>
          <w:sz w:val="24"/>
          <w:szCs w:val="28"/>
        </w:rPr>
        <w:t>财政部印发《财政支持做好碳达峰碳中和工作的意见》。其中提到，目标到2025年，财政政策工具不断丰富，有利于绿色低碳发展的财税政策框架初步建立，有力支持各地区各行业加快绿色低碳转型。2030年前，有利于绿色低碳发展的财税政策体系基本形成，促进绿色低碳发展的长效机制逐步建立，推动碳达峰目标顺利实现。2060年前，财政支持绿色低碳发展政策体系成熟健全，推动碳中和目标顺利实现。</w:t>
      </w:r>
    </w:p>
    <w:p>
      <w:pPr>
        <w:spacing w:after="120" w:line="288" w:lineRule="auto"/>
        <w:jc w:val="left"/>
        <w:rPr>
          <w:rFonts w:hint="eastAsia" w:ascii="仿宋" w:hAnsi="仿宋" w:eastAsia="仿宋" w:cs="仿宋"/>
          <w:sz w:val="24"/>
          <w:szCs w:val="28"/>
        </w:rPr>
      </w:pPr>
    </w:p>
    <w:p>
      <w:pPr>
        <w:numPr>
          <w:ilvl w:val="0"/>
          <w:numId w:val="1"/>
        </w:numPr>
        <w:spacing w:after="120" w:line="288" w:lineRule="auto"/>
        <w:ind w:left="420" w:leftChars="0" w:hanging="420" w:firstLineChars="0"/>
        <w:jc w:val="left"/>
        <w:rPr>
          <w:rFonts w:hint="eastAsia" w:ascii="仿宋" w:hAnsi="仿宋" w:eastAsia="仿宋" w:cs="仿宋"/>
          <w:b/>
          <w:bCs/>
          <w:sz w:val="24"/>
          <w:szCs w:val="28"/>
        </w:rPr>
      </w:pPr>
      <w:r>
        <w:rPr>
          <w:rFonts w:hint="eastAsia" w:ascii="仿宋" w:hAnsi="仿宋" w:eastAsia="仿宋" w:cs="仿宋"/>
          <w:b/>
          <w:bCs/>
          <w:sz w:val="24"/>
          <w:szCs w:val="28"/>
        </w:rPr>
        <w:t>全国财政支持稳住经济大盘工作视频会议在京召开</w:t>
      </w:r>
    </w:p>
    <w:p>
      <w:pPr>
        <w:spacing w:after="120" w:line="288" w:lineRule="auto"/>
        <w:jc w:val="left"/>
        <w:rPr>
          <w:rFonts w:hint="eastAsia" w:ascii="仿宋" w:hAnsi="仿宋" w:eastAsia="仿宋" w:cs="仿宋"/>
          <w:sz w:val="24"/>
          <w:szCs w:val="28"/>
        </w:rPr>
      </w:pPr>
    </w:p>
    <w:p>
      <w:pPr>
        <w:spacing w:after="120" w:line="288" w:lineRule="auto"/>
        <w:jc w:val="left"/>
        <w:rPr>
          <w:rFonts w:hint="eastAsia" w:ascii="仿宋" w:hAnsi="仿宋" w:eastAsia="仿宋" w:cs="仿宋"/>
          <w:sz w:val="24"/>
          <w:szCs w:val="28"/>
        </w:rPr>
      </w:pPr>
      <w:r>
        <w:rPr>
          <w:rFonts w:hint="eastAsia" w:ascii="仿宋" w:hAnsi="仿宋" w:eastAsia="仿宋" w:cs="仿宋"/>
          <w:sz w:val="24"/>
          <w:szCs w:val="28"/>
        </w:rPr>
        <w:t>5月30日下午，全国财政支持稳住经济大盘工作视频会议在北京召开。会议以习近平新时代中国特色社会主义思想为指导，深入贯彻中央经济工作会议和政府工作报告以及中央政治局会议部署，贯彻落实全国稳住经济大盘电视电话会议精神，布置落实有关财政政策。会议提到，在前期已发放200亿元农资补贴基础上，再次下达100亿元农资补贴，对实际承担农资价格上涨成本的实际种粮者进行补贴，适当提高了稻谷、小麦最低收购价等，提高粮食安全保障能力。支持煤炭等能源资源增产增储，依托资源能源等困难地区民生政策托底补助资金建立激励机制。</w:t>
      </w:r>
    </w:p>
    <w:p>
      <w:pPr>
        <w:spacing w:after="120" w:line="288" w:lineRule="auto"/>
        <w:jc w:val="left"/>
        <w:rPr>
          <w:rFonts w:hint="eastAsia" w:ascii="仿宋" w:hAnsi="仿宋" w:eastAsia="仿宋" w:cs="仿宋"/>
          <w:sz w:val="24"/>
          <w:szCs w:val="28"/>
        </w:rPr>
      </w:pPr>
    </w:p>
    <w:p>
      <w:pPr>
        <w:numPr>
          <w:ilvl w:val="0"/>
          <w:numId w:val="1"/>
        </w:numPr>
        <w:spacing w:after="120" w:line="288" w:lineRule="auto"/>
        <w:ind w:left="420" w:leftChars="0" w:hanging="420" w:firstLineChars="0"/>
        <w:jc w:val="left"/>
        <w:rPr>
          <w:rFonts w:hint="eastAsia" w:ascii="仿宋" w:hAnsi="仿宋" w:eastAsia="仿宋" w:cs="仿宋"/>
          <w:b/>
          <w:bCs/>
          <w:sz w:val="24"/>
          <w:szCs w:val="28"/>
        </w:rPr>
      </w:pPr>
      <w:r>
        <w:rPr>
          <w:rFonts w:hint="eastAsia" w:ascii="仿宋" w:hAnsi="仿宋" w:eastAsia="仿宋" w:cs="仿宋"/>
          <w:b/>
          <w:bCs/>
          <w:sz w:val="24"/>
          <w:szCs w:val="28"/>
        </w:rPr>
        <w:t>美联储沃勒：每次会议都应该讨论加息50个基点 直到通胀“大幅”下降</w:t>
      </w:r>
    </w:p>
    <w:p>
      <w:pPr>
        <w:spacing w:after="120" w:line="288" w:lineRule="auto"/>
        <w:jc w:val="left"/>
        <w:rPr>
          <w:rFonts w:hint="eastAsia" w:ascii="仿宋" w:hAnsi="仿宋" w:eastAsia="仿宋" w:cs="仿宋"/>
          <w:sz w:val="24"/>
          <w:szCs w:val="28"/>
        </w:rPr>
      </w:pPr>
    </w:p>
    <w:p>
      <w:pPr>
        <w:spacing w:after="120" w:line="288" w:lineRule="auto"/>
        <w:jc w:val="left"/>
        <w:rPr>
          <w:rFonts w:hint="eastAsia" w:ascii="仿宋" w:hAnsi="仿宋" w:eastAsia="仿宋" w:cs="仿宋"/>
          <w:sz w:val="24"/>
          <w:szCs w:val="28"/>
        </w:rPr>
      </w:pPr>
      <w:r>
        <w:rPr>
          <w:rFonts w:hint="eastAsia" w:ascii="仿宋" w:hAnsi="仿宋" w:eastAsia="仿宋" w:cs="仿宋"/>
          <w:sz w:val="24"/>
          <w:szCs w:val="28"/>
        </w:rPr>
        <w:t>美联储理事沃勒表示，他支持在未来几次会议上再加息50个基点的政策。在通胀“大幅”下降之前，（加息）50个基点应该是每次会议的议题。</w:t>
      </w:r>
    </w:p>
    <w:p>
      <w:pPr>
        <w:spacing w:after="120" w:line="288" w:lineRule="auto"/>
        <w:jc w:val="left"/>
        <w:rPr>
          <w:rFonts w:hint="eastAsia" w:ascii="仿宋" w:hAnsi="仿宋" w:eastAsia="仿宋" w:cs="仿宋"/>
          <w:sz w:val="24"/>
          <w:szCs w:val="28"/>
        </w:rPr>
      </w:pPr>
    </w:p>
    <w:p>
      <w:pPr>
        <w:spacing w:after="120" w:line="288" w:lineRule="auto"/>
        <w:jc w:val="center"/>
        <w:rPr>
          <w:rFonts w:hint="eastAsia" w:ascii="仿宋" w:hAnsi="仿宋" w:eastAsia="仿宋" w:cs="仿宋"/>
          <w:b/>
          <w:bCs/>
          <w:sz w:val="24"/>
          <w:szCs w:val="28"/>
        </w:rPr>
      </w:pPr>
      <w:r>
        <w:rPr>
          <w:rFonts w:hint="eastAsia" w:ascii="仿宋" w:hAnsi="仿宋" w:eastAsia="仿宋" w:cs="仿宋"/>
          <w:b/>
          <w:bCs/>
          <w:sz w:val="24"/>
          <w:szCs w:val="28"/>
        </w:rPr>
        <w:t>【黑色系期货】</w:t>
      </w:r>
    </w:p>
    <w:p>
      <w:pPr>
        <w:spacing w:after="120" w:line="288" w:lineRule="auto"/>
        <w:jc w:val="left"/>
        <w:rPr>
          <w:rFonts w:hint="eastAsia" w:ascii="仿宋" w:hAnsi="仿宋" w:eastAsia="仿宋" w:cs="仿宋"/>
          <w:sz w:val="24"/>
          <w:szCs w:val="28"/>
        </w:rPr>
      </w:pPr>
    </w:p>
    <w:p>
      <w:pPr>
        <w:numPr>
          <w:ilvl w:val="0"/>
          <w:numId w:val="1"/>
        </w:numPr>
        <w:spacing w:after="120" w:line="288" w:lineRule="auto"/>
        <w:ind w:left="420" w:leftChars="0" w:hanging="420" w:firstLineChars="0"/>
        <w:jc w:val="left"/>
        <w:rPr>
          <w:rFonts w:hint="eastAsia" w:ascii="仿宋" w:hAnsi="仿宋" w:eastAsia="仿宋" w:cs="仿宋"/>
          <w:b/>
          <w:bCs/>
          <w:sz w:val="24"/>
          <w:szCs w:val="28"/>
        </w:rPr>
      </w:pPr>
      <w:r>
        <w:rPr>
          <w:rFonts w:hint="eastAsia" w:ascii="仿宋" w:hAnsi="仿宋" w:eastAsia="仿宋" w:cs="仿宋"/>
          <w:b/>
          <w:bCs/>
          <w:sz w:val="24"/>
          <w:szCs w:val="28"/>
        </w:rPr>
        <w:t>澳洲巴西19港铁矿发运总量2477.2万吨，环比增加14.8万吨</w:t>
      </w:r>
    </w:p>
    <w:p>
      <w:pPr>
        <w:spacing w:after="120" w:line="288" w:lineRule="auto"/>
        <w:jc w:val="left"/>
        <w:rPr>
          <w:rFonts w:hint="eastAsia" w:ascii="仿宋" w:hAnsi="仿宋" w:eastAsia="仿宋" w:cs="仿宋"/>
          <w:sz w:val="24"/>
          <w:szCs w:val="28"/>
        </w:rPr>
      </w:pPr>
    </w:p>
    <w:p>
      <w:pPr>
        <w:spacing w:after="120" w:line="288" w:lineRule="auto"/>
        <w:jc w:val="left"/>
        <w:rPr>
          <w:rFonts w:hint="eastAsia" w:ascii="仿宋" w:hAnsi="仿宋" w:eastAsia="仿宋" w:cs="仿宋"/>
          <w:sz w:val="24"/>
          <w:szCs w:val="28"/>
        </w:rPr>
      </w:pPr>
      <w:r>
        <w:rPr>
          <w:rFonts w:hint="eastAsia" w:ascii="仿宋" w:hAnsi="仿宋" w:eastAsia="仿宋" w:cs="仿宋"/>
          <w:sz w:val="24"/>
          <w:szCs w:val="28"/>
        </w:rPr>
        <w:t>5月23日—5月29日澳洲巴西19港铁矿发运总量2477.2万吨，环比增加14.8万吨。澳洲发运量1886.5万吨，环比增加98.5万吨，其中澳洲发往中国的量1417.2万吨，环比减少182.0万吨。巴西发运量590.7万吨，环比减少83.7万吨。全球铁矿石发运总量3027.1万吨，环比增加20.3万吨。（Mysteel）</w:t>
      </w:r>
    </w:p>
    <w:p>
      <w:pPr>
        <w:spacing w:after="120" w:line="288" w:lineRule="auto"/>
        <w:jc w:val="left"/>
        <w:rPr>
          <w:rFonts w:hint="eastAsia" w:ascii="仿宋" w:hAnsi="仿宋" w:eastAsia="仿宋" w:cs="仿宋"/>
          <w:sz w:val="24"/>
          <w:szCs w:val="28"/>
        </w:rPr>
      </w:pPr>
    </w:p>
    <w:p>
      <w:pPr>
        <w:numPr>
          <w:ilvl w:val="0"/>
          <w:numId w:val="1"/>
        </w:numPr>
        <w:spacing w:after="120" w:line="288" w:lineRule="auto"/>
        <w:ind w:left="420" w:leftChars="0" w:hanging="420" w:firstLineChars="0"/>
        <w:jc w:val="left"/>
        <w:rPr>
          <w:rFonts w:hint="eastAsia" w:ascii="仿宋" w:hAnsi="仿宋" w:eastAsia="仿宋" w:cs="仿宋"/>
          <w:b/>
          <w:bCs/>
          <w:sz w:val="24"/>
          <w:szCs w:val="28"/>
        </w:rPr>
      </w:pPr>
      <w:r>
        <w:rPr>
          <w:rFonts w:hint="eastAsia" w:ascii="仿宋" w:hAnsi="仿宋" w:eastAsia="仿宋" w:cs="仿宋"/>
          <w:b/>
          <w:bCs/>
          <w:sz w:val="24"/>
          <w:szCs w:val="28"/>
        </w:rPr>
        <w:t>中国45港铁矿石到港总量2213.3万吨，环比减少121.0万吨</w:t>
      </w:r>
    </w:p>
    <w:p>
      <w:pPr>
        <w:spacing w:after="120" w:line="288" w:lineRule="auto"/>
        <w:jc w:val="left"/>
        <w:rPr>
          <w:rFonts w:hint="eastAsia" w:ascii="仿宋" w:hAnsi="仿宋" w:eastAsia="仿宋" w:cs="仿宋"/>
          <w:sz w:val="24"/>
          <w:szCs w:val="28"/>
        </w:rPr>
      </w:pPr>
    </w:p>
    <w:p>
      <w:pPr>
        <w:spacing w:after="120" w:line="288" w:lineRule="auto"/>
        <w:jc w:val="left"/>
        <w:rPr>
          <w:rFonts w:hint="eastAsia" w:ascii="仿宋" w:hAnsi="仿宋" w:eastAsia="仿宋" w:cs="仿宋"/>
          <w:sz w:val="24"/>
          <w:szCs w:val="28"/>
        </w:rPr>
      </w:pPr>
      <w:r>
        <w:rPr>
          <w:rFonts w:hint="eastAsia" w:ascii="仿宋" w:hAnsi="仿宋" w:eastAsia="仿宋" w:cs="仿宋"/>
          <w:sz w:val="24"/>
          <w:szCs w:val="28"/>
        </w:rPr>
        <w:t>5月23日—5月29日中国47港铁矿石到港总量2296.5万吨，环比减少207.3万吨；中国45港铁矿石到港总量2213.3万吨，环比减少121.0万吨；北方六港铁矿石到港总量为965.8万吨，环比减少142.1万吨。（Mysteel）</w:t>
      </w:r>
    </w:p>
    <w:p>
      <w:pPr>
        <w:spacing w:after="120" w:line="288" w:lineRule="auto"/>
        <w:jc w:val="left"/>
        <w:rPr>
          <w:rFonts w:hint="eastAsia" w:ascii="仿宋" w:hAnsi="仿宋" w:eastAsia="仿宋" w:cs="仿宋"/>
          <w:sz w:val="24"/>
          <w:szCs w:val="28"/>
        </w:rPr>
      </w:pPr>
    </w:p>
    <w:p>
      <w:pPr>
        <w:spacing w:after="120" w:line="288" w:lineRule="auto"/>
        <w:jc w:val="center"/>
        <w:rPr>
          <w:rFonts w:hint="eastAsia" w:ascii="仿宋" w:hAnsi="仿宋" w:eastAsia="仿宋" w:cs="仿宋"/>
          <w:b/>
          <w:bCs/>
          <w:sz w:val="24"/>
          <w:szCs w:val="28"/>
        </w:rPr>
      </w:pPr>
      <w:r>
        <w:rPr>
          <w:rFonts w:hint="eastAsia" w:ascii="仿宋" w:hAnsi="仿宋" w:eastAsia="仿宋" w:cs="仿宋"/>
          <w:b/>
          <w:bCs/>
          <w:sz w:val="24"/>
          <w:szCs w:val="28"/>
        </w:rPr>
        <w:t>【农产品期货】</w:t>
      </w:r>
    </w:p>
    <w:p>
      <w:pPr>
        <w:spacing w:after="120" w:line="288" w:lineRule="auto"/>
        <w:jc w:val="left"/>
        <w:rPr>
          <w:rFonts w:hint="eastAsia" w:ascii="仿宋" w:hAnsi="仿宋" w:eastAsia="仿宋" w:cs="仿宋"/>
          <w:sz w:val="24"/>
          <w:szCs w:val="28"/>
        </w:rPr>
      </w:pPr>
    </w:p>
    <w:p>
      <w:pPr>
        <w:numPr>
          <w:ilvl w:val="0"/>
          <w:numId w:val="1"/>
        </w:numPr>
        <w:spacing w:after="120" w:line="288" w:lineRule="auto"/>
        <w:ind w:left="420" w:leftChars="0" w:hanging="420" w:firstLineChars="0"/>
        <w:jc w:val="left"/>
        <w:rPr>
          <w:rFonts w:hint="eastAsia" w:ascii="仿宋" w:hAnsi="仿宋" w:eastAsia="仿宋" w:cs="仿宋"/>
          <w:b/>
          <w:bCs/>
          <w:sz w:val="24"/>
          <w:szCs w:val="28"/>
        </w:rPr>
      </w:pPr>
      <w:r>
        <w:rPr>
          <w:rFonts w:hint="eastAsia" w:ascii="仿宋" w:hAnsi="仿宋" w:eastAsia="仿宋" w:cs="仿宋"/>
          <w:b/>
          <w:bCs/>
          <w:sz w:val="24"/>
          <w:szCs w:val="28"/>
        </w:rPr>
        <w:t>印尼将棕榈油国内市场义务比率定在20%左右</w:t>
      </w:r>
    </w:p>
    <w:p>
      <w:pPr>
        <w:spacing w:after="120" w:line="288" w:lineRule="auto"/>
        <w:jc w:val="left"/>
        <w:rPr>
          <w:rFonts w:hint="eastAsia" w:ascii="仿宋" w:hAnsi="仿宋" w:eastAsia="仿宋" w:cs="仿宋"/>
          <w:sz w:val="24"/>
          <w:szCs w:val="28"/>
        </w:rPr>
      </w:pPr>
    </w:p>
    <w:p>
      <w:pPr>
        <w:spacing w:after="120" w:line="288" w:lineRule="auto"/>
        <w:jc w:val="left"/>
        <w:rPr>
          <w:rFonts w:hint="eastAsia" w:ascii="仿宋" w:hAnsi="仿宋" w:eastAsia="仿宋" w:cs="仿宋"/>
          <w:sz w:val="24"/>
          <w:szCs w:val="28"/>
        </w:rPr>
      </w:pPr>
      <w:r>
        <w:rPr>
          <w:rFonts w:hint="eastAsia" w:ascii="仿宋" w:hAnsi="仿宋" w:eastAsia="仿宋" w:cs="仿宋"/>
          <w:sz w:val="24"/>
          <w:szCs w:val="28"/>
        </w:rPr>
        <w:t>印尼贸易部官员：多家公司已提交（棕榈油）出口许可申请，许可证最早可能于今日发放。将棕榈油国内市场义务比率定在20%左右。</w:t>
      </w:r>
    </w:p>
    <w:p>
      <w:pPr>
        <w:spacing w:after="120" w:line="288" w:lineRule="auto"/>
        <w:jc w:val="left"/>
        <w:rPr>
          <w:rFonts w:hint="eastAsia" w:ascii="仿宋" w:hAnsi="仿宋" w:eastAsia="仿宋" w:cs="仿宋"/>
          <w:sz w:val="24"/>
          <w:szCs w:val="28"/>
        </w:rPr>
      </w:pPr>
    </w:p>
    <w:p>
      <w:pPr>
        <w:spacing w:after="120" w:line="288" w:lineRule="auto"/>
        <w:jc w:val="left"/>
        <w:rPr>
          <w:rFonts w:hint="eastAsia" w:ascii="仿宋" w:hAnsi="仿宋" w:eastAsia="仿宋" w:cs="仿宋"/>
          <w:sz w:val="24"/>
          <w:szCs w:val="28"/>
        </w:rPr>
      </w:pPr>
      <w:r>
        <w:rPr>
          <w:rFonts w:hint="eastAsia" w:ascii="仿宋" w:hAnsi="仿宋" w:eastAsia="仿宋" w:cs="仿宋"/>
          <w:sz w:val="24"/>
          <w:szCs w:val="28"/>
        </w:rPr>
        <w:t>CGS-CIMB分析师：早盘交易中，棕榈油价格略微上涨，但印尼国内供应政策实施的不确定性可能会对棕榈油价格造成影响。虽然印尼已经恢复了食用油出口，但印尼经济部长表示，政府将对国内市场实施一项政策，以确保印尼本土棕榈油产量的20%留在国内。由于印尼将如何实施这一政策的细节还没确定，导致了它将如何影响粗棕榈油价格也具有不确定性。</w:t>
      </w:r>
    </w:p>
    <w:p>
      <w:pPr>
        <w:numPr>
          <w:ilvl w:val="0"/>
          <w:numId w:val="1"/>
        </w:numPr>
        <w:spacing w:after="120" w:line="288" w:lineRule="auto"/>
        <w:ind w:left="420" w:leftChars="0" w:hanging="420" w:firstLineChars="0"/>
        <w:jc w:val="left"/>
        <w:rPr>
          <w:rFonts w:hint="eastAsia" w:ascii="仿宋" w:hAnsi="仿宋" w:eastAsia="仿宋" w:cs="仿宋"/>
          <w:b/>
          <w:bCs/>
          <w:sz w:val="24"/>
          <w:szCs w:val="28"/>
        </w:rPr>
      </w:pPr>
      <w:r>
        <w:rPr>
          <w:rFonts w:hint="eastAsia" w:ascii="仿宋" w:hAnsi="仿宋" w:eastAsia="仿宋" w:cs="仿宋"/>
          <w:b/>
          <w:bCs/>
          <w:sz w:val="24"/>
          <w:szCs w:val="28"/>
        </w:rPr>
        <w:t>Conab：巴西大豆、玉米、棉花收割进度数据</w:t>
      </w:r>
    </w:p>
    <w:p>
      <w:pPr>
        <w:spacing w:after="120" w:line="288" w:lineRule="auto"/>
        <w:jc w:val="left"/>
        <w:rPr>
          <w:rFonts w:hint="eastAsia" w:ascii="仿宋" w:hAnsi="仿宋" w:eastAsia="仿宋" w:cs="仿宋"/>
          <w:sz w:val="24"/>
          <w:szCs w:val="28"/>
        </w:rPr>
      </w:pPr>
    </w:p>
    <w:p>
      <w:pPr>
        <w:spacing w:after="120" w:line="288" w:lineRule="auto"/>
        <w:jc w:val="left"/>
        <w:rPr>
          <w:rFonts w:hint="eastAsia" w:ascii="仿宋" w:hAnsi="仿宋" w:eastAsia="仿宋" w:cs="仿宋"/>
          <w:sz w:val="24"/>
          <w:szCs w:val="28"/>
        </w:rPr>
      </w:pPr>
      <w:r>
        <w:rPr>
          <w:rFonts w:hint="eastAsia" w:ascii="仿宋" w:hAnsi="仿宋" w:eastAsia="仿宋" w:cs="仿宋"/>
          <w:sz w:val="24"/>
          <w:szCs w:val="28"/>
        </w:rPr>
        <w:t xml:space="preserve">据巴西农业部下属的国家商品供应公司CONAB，截至5月28日，巴西大豆收割率为99.1%，上周为98.1%，去年同期为99.6%。巴西2021/22年度第一茬玉米收割率为85%，上周为83.7%，去年同期为84%。 巴西棉花收割率为0.9%，上周为0.4%，去年同期为0.4%。 </w:t>
      </w:r>
    </w:p>
    <w:p>
      <w:pPr>
        <w:spacing w:after="120" w:line="288" w:lineRule="auto"/>
        <w:jc w:val="left"/>
        <w:rPr>
          <w:rFonts w:hint="eastAsia" w:ascii="仿宋" w:hAnsi="仿宋" w:eastAsia="仿宋" w:cs="仿宋"/>
          <w:sz w:val="24"/>
          <w:szCs w:val="28"/>
        </w:rPr>
      </w:pPr>
    </w:p>
    <w:p>
      <w:pPr>
        <w:spacing w:after="120" w:line="288" w:lineRule="auto"/>
        <w:jc w:val="center"/>
        <w:rPr>
          <w:rFonts w:hint="eastAsia" w:ascii="仿宋" w:hAnsi="仿宋" w:eastAsia="仿宋" w:cs="仿宋"/>
          <w:b/>
          <w:bCs/>
          <w:sz w:val="24"/>
          <w:szCs w:val="28"/>
        </w:rPr>
      </w:pPr>
      <w:r>
        <w:rPr>
          <w:rFonts w:hint="eastAsia" w:ascii="仿宋" w:hAnsi="仿宋" w:eastAsia="仿宋" w:cs="仿宋"/>
          <w:b/>
          <w:bCs/>
          <w:sz w:val="24"/>
          <w:szCs w:val="28"/>
        </w:rPr>
        <w:t>【能化期货】</w:t>
      </w:r>
    </w:p>
    <w:p>
      <w:pPr>
        <w:spacing w:after="120" w:line="288" w:lineRule="auto"/>
        <w:jc w:val="left"/>
        <w:rPr>
          <w:rFonts w:hint="eastAsia" w:ascii="仿宋" w:hAnsi="仿宋" w:eastAsia="仿宋" w:cs="仿宋"/>
          <w:sz w:val="24"/>
          <w:szCs w:val="28"/>
        </w:rPr>
      </w:pPr>
    </w:p>
    <w:p>
      <w:pPr>
        <w:numPr>
          <w:ilvl w:val="0"/>
          <w:numId w:val="1"/>
        </w:numPr>
        <w:spacing w:after="120" w:line="288" w:lineRule="auto"/>
        <w:ind w:left="420" w:leftChars="0" w:hanging="420" w:firstLineChars="0"/>
        <w:jc w:val="left"/>
        <w:rPr>
          <w:rFonts w:hint="eastAsia" w:ascii="仿宋" w:hAnsi="仿宋" w:eastAsia="仿宋" w:cs="仿宋"/>
          <w:b/>
          <w:bCs/>
          <w:sz w:val="24"/>
          <w:szCs w:val="28"/>
        </w:rPr>
      </w:pPr>
      <w:r>
        <w:rPr>
          <w:rFonts w:hint="eastAsia" w:ascii="仿宋" w:hAnsi="仿宋" w:eastAsia="仿宋" w:cs="仿宋"/>
          <w:b/>
          <w:bCs/>
          <w:sz w:val="24"/>
          <w:szCs w:val="28"/>
        </w:rPr>
        <w:t>成品油年内第九涨，部分地区92号汽油迈入“9元时代”</w:t>
      </w:r>
    </w:p>
    <w:p>
      <w:pPr>
        <w:spacing w:after="120" w:line="288" w:lineRule="auto"/>
        <w:jc w:val="left"/>
        <w:rPr>
          <w:rFonts w:hint="eastAsia" w:ascii="仿宋" w:hAnsi="仿宋" w:eastAsia="仿宋" w:cs="仿宋"/>
          <w:sz w:val="24"/>
          <w:szCs w:val="28"/>
        </w:rPr>
      </w:pPr>
    </w:p>
    <w:p>
      <w:pPr>
        <w:spacing w:after="120" w:line="288" w:lineRule="auto"/>
        <w:jc w:val="left"/>
        <w:rPr>
          <w:rFonts w:hint="eastAsia" w:ascii="仿宋" w:hAnsi="仿宋" w:eastAsia="仿宋" w:cs="仿宋"/>
          <w:sz w:val="24"/>
          <w:szCs w:val="28"/>
        </w:rPr>
      </w:pPr>
      <w:r>
        <w:rPr>
          <w:rFonts w:hint="eastAsia" w:ascii="仿宋" w:hAnsi="仿宋" w:eastAsia="仿宋" w:cs="仿宋"/>
          <w:sz w:val="24"/>
          <w:szCs w:val="28"/>
        </w:rPr>
        <w:t>国家发改委发布消息称，自今日24时起，国内汽油价格上调400元/吨，柴油价格上调390元/吨。折合升价，92号汽油价格上调0.31元/升、95号汽油和0号柴油价格均上调0.33元/升。私家车主和物流企业的用油成本因此增加。以油箱容量50L的普通私家车计算，车主们加满一箱油将多花15.5元左右；对于满载50吨的大型物流运输车辆而言，平均每行驶一百公里，燃油费用增加13.2元左右。</w:t>
      </w:r>
    </w:p>
    <w:p>
      <w:pPr>
        <w:spacing w:after="120" w:line="288" w:lineRule="auto"/>
        <w:jc w:val="left"/>
        <w:rPr>
          <w:rFonts w:hint="eastAsia" w:ascii="仿宋" w:hAnsi="仿宋" w:eastAsia="仿宋" w:cs="仿宋"/>
          <w:sz w:val="24"/>
          <w:szCs w:val="28"/>
        </w:rPr>
      </w:pPr>
    </w:p>
    <w:p>
      <w:pPr>
        <w:numPr>
          <w:ilvl w:val="0"/>
          <w:numId w:val="1"/>
        </w:numPr>
        <w:spacing w:after="120" w:line="288" w:lineRule="auto"/>
        <w:ind w:left="420" w:leftChars="0" w:hanging="420" w:firstLineChars="0"/>
        <w:jc w:val="left"/>
        <w:rPr>
          <w:rFonts w:hint="eastAsia" w:ascii="仿宋" w:hAnsi="仿宋" w:eastAsia="仿宋" w:cs="仿宋"/>
          <w:b/>
          <w:bCs/>
          <w:sz w:val="24"/>
          <w:szCs w:val="28"/>
        </w:rPr>
      </w:pPr>
      <w:r>
        <w:rPr>
          <w:rFonts w:hint="eastAsia" w:ascii="仿宋" w:hAnsi="仿宋" w:eastAsia="仿宋" w:cs="仿宋"/>
          <w:b/>
          <w:bCs/>
          <w:sz w:val="24"/>
          <w:szCs w:val="28"/>
        </w:rPr>
        <w:t>俄罗斯5月31日起停止向荷兰供应天然气</w:t>
      </w:r>
    </w:p>
    <w:p>
      <w:pPr>
        <w:spacing w:after="120" w:line="288" w:lineRule="auto"/>
        <w:jc w:val="left"/>
        <w:rPr>
          <w:rFonts w:hint="eastAsia" w:ascii="仿宋" w:hAnsi="仿宋" w:eastAsia="仿宋" w:cs="仿宋"/>
          <w:sz w:val="24"/>
          <w:szCs w:val="28"/>
        </w:rPr>
      </w:pPr>
    </w:p>
    <w:p>
      <w:pPr>
        <w:spacing w:after="120" w:line="288" w:lineRule="auto"/>
        <w:jc w:val="left"/>
        <w:rPr>
          <w:rFonts w:hint="eastAsia" w:ascii="仿宋" w:hAnsi="仿宋" w:eastAsia="仿宋" w:cs="仿宋"/>
          <w:sz w:val="24"/>
          <w:szCs w:val="28"/>
        </w:rPr>
      </w:pPr>
      <w:r>
        <w:rPr>
          <w:rFonts w:hint="eastAsia" w:ascii="仿宋" w:hAnsi="仿宋" w:eastAsia="仿宋" w:cs="仿宋"/>
          <w:sz w:val="24"/>
          <w:szCs w:val="28"/>
        </w:rPr>
        <w:t>当地时间周一（5月30日），俄气公司Gazprom发布消息表示，因尚未收到荷兰GasTerra公司4月份的欠款，已通知该公司将自5月31日起暂停供气。</w:t>
      </w:r>
    </w:p>
    <w:p>
      <w:pPr>
        <w:spacing w:after="120" w:line="288" w:lineRule="auto"/>
        <w:jc w:val="left"/>
        <w:rPr>
          <w:rFonts w:hint="eastAsia" w:ascii="仿宋" w:hAnsi="仿宋" w:eastAsia="仿宋" w:cs="仿宋"/>
          <w:sz w:val="24"/>
          <w:szCs w:val="28"/>
        </w:rPr>
      </w:pPr>
    </w:p>
    <w:p>
      <w:pPr>
        <w:numPr>
          <w:ilvl w:val="0"/>
          <w:numId w:val="1"/>
        </w:numPr>
        <w:spacing w:after="120" w:line="288" w:lineRule="auto"/>
        <w:ind w:left="420" w:leftChars="0" w:hanging="420" w:firstLineChars="0"/>
        <w:jc w:val="left"/>
        <w:rPr>
          <w:rFonts w:hint="eastAsia" w:ascii="仿宋" w:hAnsi="仿宋" w:eastAsia="仿宋" w:cs="仿宋"/>
          <w:b/>
          <w:bCs/>
          <w:sz w:val="24"/>
          <w:szCs w:val="28"/>
        </w:rPr>
      </w:pPr>
      <w:r>
        <w:rPr>
          <w:rFonts w:hint="eastAsia" w:ascii="仿宋" w:hAnsi="仿宋" w:eastAsia="仿宋" w:cs="仿宋"/>
          <w:b/>
          <w:bCs/>
          <w:sz w:val="24"/>
          <w:szCs w:val="28"/>
        </w:rPr>
        <w:t>欧盟领导人支持推动制裁部分俄罗斯石油，暂时豁免管道原油</w:t>
      </w:r>
    </w:p>
    <w:p>
      <w:pPr>
        <w:spacing w:after="120" w:line="288" w:lineRule="auto"/>
        <w:jc w:val="left"/>
        <w:rPr>
          <w:rFonts w:hint="eastAsia" w:ascii="仿宋" w:hAnsi="仿宋" w:eastAsia="仿宋" w:cs="仿宋"/>
          <w:sz w:val="24"/>
          <w:szCs w:val="28"/>
        </w:rPr>
      </w:pPr>
    </w:p>
    <w:p>
      <w:pPr>
        <w:spacing w:after="120" w:line="288" w:lineRule="auto"/>
        <w:jc w:val="left"/>
        <w:rPr>
          <w:rFonts w:hint="eastAsia" w:ascii="仿宋" w:hAnsi="仿宋" w:eastAsia="仿宋" w:cs="仿宋"/>
          <w:sz w:val="24"/>
          <w:szCs w:val="28"/>
        </w:rPr>
      </w:pPr>
      <w:r>
        <w:rPr>
          <w:rFonts w:hint="eastAsia" w:ascii="仿宋" w:hAnsi="仿宋" w:eastAsia="仿宋" w:cs="仿宋"/>
          <w:sz w:val="24"/>
          <w:szCs w:val="28"/>
        </w:rPr>
        <w:t>欧盟领导人同意对俄罗斯石油实施部分禁令，为第六轮对俄制裁铺平了道路。周一在布鲁塞尔举行的一场峰会上，两名知情人士表示，制裁将禁止购买从俄罗斯通过海路运送到欧盟成员国的原油和石油产品，但暂时豁免管道原油。</w:t>
      </w:r>
    </w:p>
    <w:p>
      <w:pPr>
        <w:spacing w:after="120" w:line="288" w:lineRule="auto"/>
        <w:jc w:val="left"/>
        <w:rPr>
          <w:rFonts w:hint="eastAsia" w:ascii="仿宋" w:hAnsi="仿宋" w:eastAsia="仿宋" w:cs="仿宋"/>
          <w:sz w:val="24"/>
          <w:szCs w:val="28"/>
        </w:rPr>
      </w:pPr>
    </w:p>
    <w:p>
      <w:pPr>
        <w:spacing w:after="120" w:line="288" w:lineRule="auto"/>
        <w:jc w:val="left"/>
        <w:rPr>
          <w:rFonts w:hint="eastAsia" w:ascii="仿宋" w:hAnsi="仿宋" w:eastAsia="仿宋" w:cs="仿宋"/>
          <w:sz w:val="24"/>
          <w:szCs w:val="28"/>
        </w:rPr>
      </w:pPr>
      <w:r>
        <w:rPr>
          <w:rFonts w:hint="eastAsia" w:ascii="仿宋" w:hAnsi="仿宋" w:eastAsia="仿宋" w:cs="仿宋"/>
          <w:sz w:val="24"/>
          <w:szCs w:val="28"/>
        </w:rPr>
        <w:t>欧洲理事会主席米歇尔称，制裁涵盖了俄罗斯对欧盟的石油出口的2/3以上，欧盟同意到2022年底前禁止90%的俄罗斯石油进口。欧盟的一揽子（对俄制裁）计划包括将俄罗斯联邦储蓄银行剔除出SWIFT（银行结算系统）。</w:t>
      </w:r>
    </w:p>
    <w:p>
      <w:pPr>
        <w:spacing w:after="120" w:line="288" w:lineRule="auto"/>
        <w:jc w:val="center"/>
        <w:rPr>
          <w:rFonts w:hint="eastAsia" w:ascii="仿宋" w:hAnsi="仿宋" w:eastAsia="仿宋" w:cs="仿宋"/>
          <w:sz w:val="24"/>
          <w:szCs w:val="28"/>
        </w:rPr>
      </w:pPr>
    </w:p>
    <w:p>
      <w:pPr>
        <w:spacing w:after="120" w:line="288" w:lineRule="auto"/>
        <w:jc w:val="center"/>
        <w:rPr>
          <w:rFonts w:ascii="微软雅黑" w:hAnsi="微软雅黑" w:eastAsia="微软雅黑" w:cs="Calibri"/>
          <w:b/>
          <w:smallCaps/>
          <w:color w:val="112845"/>
          <w:sz w:val="32"/>
          <w:szCs w:val="36"/>
        </w:rPr>
      </w:pPr>
      <w:r>
        <w:rPr>
          <w:rFonts w:hint="eastAsia" w:ascii="微软雅黑" w:hAnsi="微软雅黑" w:eastAsia="微软雅黑" w:cs="Calibri"/>
          <w:b/>
          <w:smallCaps/>
          <w:color w:val="112845"/>
          <w:sz w:val="32"/>
          <w:szCs w:val="36"/>
        </w:rPr>
        <w:t>金融市场</w:t>
      </w:r>
    </w:p>
    <w:p>
      <w:pPr>
        <w:spacing w:after="120" w:line="240" w:lineRule="auto"/>
        <w:rPr>
          <w:rFonts w:ascii="仿宋" w:hAnsi="仿宋" w:eastAsia="仿宋" w:cs="仿宋"/>
          <w:sz w:val="24"/>
          <w:szCs w:val="28"/>
        </w:rPr>
      </w:pPr>
    </w:p>
    <w:p>
      <w:pPr>
        <w:pStyle w:val="21"/>
        <w:numPr>
          <w:ilvl w:val="0"/>
          <w:numId w:val="2"/>
        </w:numPr>
        <w:spacing w:after="120" w:line="288" w:lineRule="auto"/>
        <w:jc w:val="left"/>
        <w:rPr>
          <w:rFonts w:ascii="仿宋" w:hAnsi="仿宋" w:eastAsia="仿宋" w:cs="仿宋"/>
          <w:b/>
          <w:bCs/>
          <w:sz w:val="24"/>
          <w:szCs w:val="28"/>
        </w:rPr>
      </w:pPr>
      <w:r>
        <w:rPr>
          <w:rFonts w:hint="eastAsia" w:ascii="仿宋" w:hAnsi="仿宋" w:eastAsia="仿宋" w:cs="仿宋"/>
          <w:b/>
          <w:bCs/>
          <w:sz w:val="24"/>
          <w:szCs w:val="28"/>
        </w:rPr>
        <w:t>金融</w:t>
      </w: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1、上交所与长三角区域合作办公室、上海市发改委、江苏省发改委、浙江省发改委和安徽省发改委作为共同指导单位，发起成立长三角基础设施REITs产业联盟，广泛吸纳REITs市场各参与主体，助力长三角基础设施REITs更好更快地联动发展。</w:t>
      </w: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2、据湖北省纪委监委消息：湖北银行党委原书记、董事长陈大林涉嫌严重违纪违法，目前正接受湖北省纪委监委纪律审查和监察调查。</w:t>
      </w: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3、据每日经济新闻，近日，多家基金公司的基金经理纷纷启动并晒出个人“定投计划”。除了基金公司加码定投服务外，蚂蚁基金定投专区近日也进行了改版，页面按稳健、权益、指数三类基金做划分，并展示近3年定投业绩、估值水平、波动风险等信息。 来自蚂蚁基金的数据显示，截至5月，今年平台上以基金定投入市加仓的投资者超千万，人均定投金额近5000元。</w:t>
      </w: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4、据证券时报，在投资体量日益增大、信用违约风险上升的环境下，一向注重稳健安全的险资投资也不再是金身不破。近期，数家保险公司披露了历史风险事件信息，并表示要推进风险化解工作。</w:t>
      </w: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5、据券商中国，基金业协会公开信息显示，前易方达基金明星基金经理林森已入职上海勤辰私募基金管理合伙企业。作为知名基金经理，林森在公募期间合计管理规模曾达700亿，他的去向引起了业内很大关注。作为新锐私募，上海勤辰平台上可谓明星云集。一个月前，前华安基金投资总监、明星基金经理崔莹也已加盟这一新公司。</w:t>
      </w: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6、据经济参考报，5月以来机构资金流持续好转，公募基金持续迎来净申购。Wind数据显示，截至5月30日，股票型、混合型和债券型基金的份额合计分别为17657.34亿份、41883.52亿份、65827.05亿份，相比4月整体呈现净申购态势。不少机构认为，当前市场部分指数估值已处于历史较低水准，未来结构性行情延续，但整体态度已较为乐观。</w:t>
      </w:r>
    </w:p>
    <w:p>
      <w:pPr>
        <w:keepNext w:val="0"/>
        <w:keepLines w:val="0"/>
        <w:widowControl/>
        <w:numPr>
          <w:ilvl w:val="0"/>
          <w:numId w:val="3"/>
        </w:numPr>
        <w:suppressLineNumbers w:val="0"/>
        <w:ind w:left="420" w:leftChars="0" w:hanging="420" w:firstLineChars="0"/>
        <w:jc w:val="left"/>
        <w:rPr>
          <w:rFonts w:hint="eastAsia" w:ascii="仿宋" w:hAnsi="仿宋" w:eastAsia="仿宋" w:cs="仿宋"/>
          <w:b/>
          <w:bCs/>
          <w:sz w:val="24"/>
          <w:szCs w:val="28"/>
        </w:rPr>
      </w:pPr>
      <w:bookmarkStart w:id="0" w:name="_GoBack"/>
      <w:r>
        <w:rPr>
          <w:rFonts w:hint="eastAsia" w:ascii="仿宋" w:hAnsi="仿宋" w:eastAsia="仿宋" w:cs="仿宋"/>
          <w:b/>
          <w:bCs/>
          <w:sz w:val="24"/>
          <w:szCs w:val="28"/>
        </w:rPr>
        <w:t>楼市</w:t>
      </w:r>
      <w:bookmarkEnd w:id="0"/>
    </w:p>
    <w:p>
      <w:pPr>
        <w:keepNext w:val="0"/>
        <w:keepLines w:val="0"/>
        <w:widowControl/>
        <w:suppressLineNumbers w:val="0"/>
        <w:jc w:val="left"/>
        <w:rPr>
          <w:rFonts w:hint="eastAsia" w:ascii="仿宋" w:hAnsi="仿宋" w:eastAsia="仿宋" w:cs="仿宋"/>
          <w:sz w:val="24"/>
          <w:szCs w:val="28"/>
        </w:rPr>
      </w:pP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1、央行研究局课题组发布文章称，要在坚持房地产调控总基调和政策目标不动摇的前提下，支持刚性和改善性住房需求，优化房地产市场供给。扩大保障性租赁住房供给，综合利用税费手段，加大保障性租赁住房金融支持力度。健全房地产金融审慎管理制度，因城施策实施好差别化住房信贷政策，支持房地产企业的合理融资需求。</w:t>
      </w: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2、中指研究院监测数据显示，5月楼市整体成交上升，其监测的17个主要城市成交面积环比上涨8.8%；同比则下降51%，降幅有所缩小。一线城市整体环比下降31.9%，其中深圳和北京成交面积环比降幅显著，分别为41.4%、40%；同比降幅为79.7%，其中上海成交面积降幅显著，为95.3%。</w:t>
      </w: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3、北京住房租赁条例正式出台，将从今年9月1日起正式实施。条例规定，北京住建部门应加强住房租赁价格监测，建立健全相关预警机制。住房租金明显上涨或者有可能明显上涨时，政府可以采取涨价申报、限定租金或者租金涨幅等价格干预措施，稳定租金水平，并依法报国务院备案。</w:t>
      </w: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4、上海市住房公积金管理委员会发布通知，受疫情影响，2022年3月至12月期间，用人单位可申请缓缴住房公积金，缓缴期间职工的住房公积金缴存时间连续计算，不影响职工正常提取和申请住房公积金贷款。不能正常归还住房公积金贷款的个人，经认定后不作逾期处理，即不计罚息，不作为逾期记录报送征信部门，已报送的予以调整。</w:t>
      </w: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5、厦门优化户籍制度改革完善户口迁移政策，已在厦门市就业的全日制高校应届毕业生等经厦门市人社部门确认后可落户。此外，吸引先进模范人物和高层次人才、高技能人才落户，优化投靠落户，促进集美区、海沧区、同安区和翔安区就业落户，吸引企业骨干员工落户。</w:t>
      </w: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6、福州：6月1日起，首次申请公积金贷款购买90平方米以下住房的，首付最低20%；生育、抚养两个及以上未成年子女家庭，首次申请公积金贷款，贷款额度另加10万元，且最高可贷额度调整为双职工按100万元、单职工按70万元执行。</w:t>
      </w: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7、江苏无锡：支持改善性住房需求，对购买144平方米(含)以上商品住房适当放宽限购；鼓励购买预(销)售商办用房，一年内签订商品房销售合同并网签备案的，由开发项目所在地予以已缴纳契税50%的购房补贴。</w:t>
      </w: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8、济南住房公积金中心通知，2022年期间，受新冠肺炎疫情影响的缴存人，不能正常偿还住房公积金贷款的，不作逾期处理，不作为逾期记录报送征信部门。</w:t>
      </w:r>
    </w:p>
    <w:p>
      <w:pPr>
        <w:keepNext w:val="0"/>
        <w:keepLines w:val="0"/>
        <w:widowControl/>
        <w:numPr>
          <w:ilvl w:val="0"/>
          <w:numId w:val="3"/>
        </w:numPr>
        <w:suppressLineNumbers w:val="0"/>
        <w:ind w:left="420" w:leftChars="0" w:hanging="420" w:firstLineChars="0"/>
        <w:jc w:val="left"/>
        <w:rPr>
          <w:rFonts w:hint="eastAsia" w:ascii="仿宋" w:hAnsi="仿宋" w:eastAsia="仿宋" w:cs="仿宋"/>
          <w:b/>
          <w:bCs/>
          <w:sz w:val="24"/>
          <w:szCs w:val="28"/>
        </w:rPr>
      </w:pPr>
      <w:r>
        <w:rPr>
          <w:rFonts w:hint="eastAsia" w:ascii="仿宋" w:hAnsi="仿宋" w:eastAsia="仿宋" w:cs="仿宋"/>
          <w:b/>
          <w:bCs/>
          <w:sz w:val="24"/>
          <w:szCs w:val="28"/>
        </w:rPr>
        <w:t>产业</w:t>
      </w:r>
    </w:p>
    <w:p>
      <w:pPr>
        <w:keepNext w:val="0"/>
        <w:keepLines w:val="0"/>
        <w:widowControl/>
        <w:suppressLineNumbers w:val="0"/>
        <w:jc w:val="left"/>
        <w:rPr>
          <w:rFonts w:hint="eastAsia" w:ascii="仿宋" w:hAnsi="仿宋" w:eastAsia="仿宋" w:cs="仿宋"/>
          <w:sz w:val="24"/>
          <w:szCs w:val="28"/>
        </w:rPr>
      </w:pP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1、据经济参考报，面对多重因素影响带来的新压力，1-4月份我国制造业投资增速比一季度有所下滑。如何进一步将投资的关键作用发挥出来？据悉，各地各部门正加紧部署，抓紧实施制造业“十四五”规划重大工程和项目，加大对传统产业改造提升的投资力度，加强项目融资、用地保障支持，为工业经济稳增长、调结构注入活力。</w:t>
      </w: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2、国资重组转让将迎新规，完善国有资产交易流转。涉及政府或国资监管机构主导推动的国有资本布局优化和结构调整，以及专业化重组等方面的重大事项，企业产权在不同的国家出资企业及其控股企业之间转让，且受让方有特殊要求的，可以采取协议方式进行。主业处于关系国家安全、国民经济命脉的重要行业和关键领域，主要承担重大专项任务的子企业，不得因产权转让、企业增资失去国有资本控股地位。</w:t>
      </w: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3、铁路部门决定，自6月1日起，将铁路客票预售期调整为15天（含当天）。</w:t>
      </w: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4、国内客运航班保底现金补贴政策执行两周后暂停一周。多家航司内部人员透露，民航局运输司下发《关于暂停在航线航班管理系统航班补贴模块申报航班计划的通知》指出，各公司可根据市场需求自主安排第3周（6月4日至6月10日）航班计划，无需在航班管理系统“航班补贴”模块申报。</w:t>
      </w: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5、《关于促进新时代新能源高质量发展的实施方案》提出，鼓励地方政府加大力度支持农民利用自有建筑屋顶建设户用光伏。完善光伏建筑一体化应用技术体系，壮大光伏电力生产型消费者群体。到2025年，公共机构新建建筑屋顶光伏覆盖率力争达到50%；鼓励公共机构既有建筑等安装光伏或太阳能热利用设施。</w:t>
      </w: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6、据工信部，今年1-4月份，我国规模以上互联网和相关服务企业完成业务收入4437亿元，同比增长2.7%，增速较一季度提高1.3个百分点。实现利润总额321.4亿元，同比下降25.4%，降幅较一季度扩大15.1个百分点。</w:t>
      </w: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7、发改委公布数据显示，1-4月份，农副食品加工业增加值累计增长4.7%，食品制造业增加值累计增长4.5 %，酒、饮料和精制茶制造业增加值累计增长9.2%。</w:t>
      </w: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8、发改委产业司组织召开纺织行业发展座谈会，中国纺织工业联合会、中国化纤协会、中国服装协会等有关单位负责人参会。与会代表介绍了今年以来纺织行业相关领域经济运行情况，分析了当前存在的问题和挑战，提出了促进行业平稳健康发展的政策建议。</w:t>
      </w: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9、北京发布数字经济全产业链开放发展行动方案，明确提出提高数字技术供给能力，构建数字技术创新生态等举措，包括集中突破高端芯片、人工智能、关键软件、区块链、隐私计算、城市空间操作系统等领域关键核心技术，超前布局6G、未来网络、类脑智能、量子计算等未来科技前沿领域。</w:t>
      </w: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10、上海徐汇15个重大项目集中签约，康宁显示、吉利汽车、云南白药、NITORI、均瑶云商、园高基金等多家企业出席仪式，项目涉及材料科学、智慧出行、生命健康、金融、家居、建筑设计、文化传播等多个领域。</w:t>
      </w: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11、乘联会公布数据显示，重卡1-4月累计销售5849台，同比大涨529.6%，主要分布在政策类城市、换电为主。城配四类车型除微客外均高于整体增幅，其中微卡增长207.3%、轻卡增长121.3%。</w:t>
      </w: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12、国际半导体产业协会(SEMI)指出，全球各领域对于半导体应用的需求持续增加，中长期发展前景仍佳，促使厂商投入扩产，2022年全球前端晶圆厂设备支出总额将较前一年成长18%，来到1070亿美元的历史新高，且已连续三年大幅增长。</w:t>
      </w:r>
    </w:p>
    <w:p>
      <w:pPr>
        <w:keepNext w:val="0"/>
        <w:keepLines w:val="0"/>
        <w:widowControl/>
        <w:numPr>
          <w:ilvl w:val="0"/>
          <w:numId w:val="3"/>
        </w:numPr>
        <w:suppressLineNumbers w:val="0"/>
        <w:ind w:left="420" w:leftChars="0" w:hanging="420" w:firstLineChars="0"/>
        <w:jc w:val="left"/>
        <w:rPr>
          <w:rFonts w:hint="eastAsia" w:ascii="仿宋" w:hAnsi="仿宋" w:eastAsia="仿宋" w:cs="仿宋"/>
          <w:b/>
          <w:bCs/>
          <w:sz w:val="24"/>
          <w:szCs w:val="28"/>
        </w:rPr>
      </w:pPr>
      <w:r>
        <w:rPr>
          <w:rFonts w:hint="eastAsia" w:ascii="仿宋" w:hAnsi="仿宋" w:eastAsia="仿宋" w:cs="仿宋"/>
          <w:b/>
          <w:bCs/>
          <w:sz w:val="24"/>
          <w:szCs w:val="28"/>
        </w:rPr>
        <w:t>海外</w:t>
      </w:r>
    </w:p>
    <w:p>
      <w:pPr>
        <w:keepNext w:val="0"/>
        <w:keepLines w:val="0"/>
        <w:widowControl/>
        <w:suppressLineNumbers w:val="0"/>
        <w:jc w:val="left"/>
        <w:rPr>
          <w:rFonts w:hint="eastAsia" w:ascii="仿宋" w:hAnsi="仿宋" w:eastAsia="仿宋" w:cs="仿宋"/>
          <w:sz w:val="24"/>
          <w:szCs w:val="28"/>
        </w:rPr>
      </w:pP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1、美国总统拜登将于当地时间5月31日会见美联储主席鲍威尔，这将是拜登和鲍威尔自去年11月以来的首次会晤。根据白宫发布的声明，他们将讨论在目前通胀率走高的背景下，“美国和全球的经济状况”。</w:t>
      </w: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2、美联储理事沃勒表示，支持在未来几次会议上再加息50个基点的政策。在通胀率降至接近美联储2%的目标之前，不会取消支持加息50个基点的观点；市场预计美联储今年将加息2.5个百分点。</w:t>
      </w: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3、日本央行行长黑田东彦表示，将继续坚持强有力的货币宽松政策，以帮助经济从低迷状态中复苏。对任何有关退出刺激政策的建议不予理会。黑田东彦指出，不认为日本央行的货币政策是日元迅速走软的原因，日元正从近期“不受欢迎”的迅速走软中恢复稳定，目前形势正在改善。</w:t>
      </w: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4、欧洲央行首席经济学家连恩表示，在第三季度末结束负利率政策是合适的；货币政策正常化应循序渐进，7月、9月各加息25个基点是“基准节奏”。</w:t>
      </w: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5、韩国总统尹锡悦批准规模为62万亿韩元（约合人民币3325亿元）的今年第二期补充预算案，并要求财政部门迅速执行预算，向小工商业者发放抗疫补助。</w:t>
      </w: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6、韩国政府公布民生稳定方案，将在生活·菜篮子价格、教育·通信等生活费、中产阶层·普通老百姓的住房稳定三大领域推进10个保民生项目。住房方面，政府决定将面向仅持一套房产业主征收的保有税（财产税和综合不动产税）降至2020年水平。</w:t>
      </w: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7、德国联邦统计局初步数据显示，在能源和食品价格飙升的推动下，德国5月份CPI同比攀升至7.9%，高于市场预期的7.6%，刷新1990年两德统一后的最高纪录。德国财政部长Christian Lindner在数据公布前不久称，控制价格飙升是“首要任务”，同时主张终结扩张性的财政政策。</w:t>
      </w: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8、欧元区5月份经济景气指数为105，与4月份基本持平，显示第二季度经济停滞。欧元区5月工业景气指数录得6.3，创去年3月以来新低。</w:t>
      </w:r>
    </w:p>
    <w:p>
      <w:pPr>
        <w:keepNext w:val="0"/>
        <w:keepLines w:val="0"/>
        <w:widowControl/>
        <w:numPr>
          <w:ilvl w:val="0"/>
          <w:numId w:val="3"/>
        </w:numPr>
        <w:suppressLineNumbers w:val="0"/>
        <w:ind w:left="420" w:leftChars="0" w:hanging="420" w:firstLineChars="0"/>
        <w:jc w:val="left"/>
        <w:rPr>
          <w:rFonts w:hint="eastAsia" w:ascii="仿宋" w:hAnsi="仿宋" w:eastAsia="仿宋" w:cs="仿宋"/>
          <w:b/>
          <w:bCs/>
          <w:sz w:val="24"/>
          <w:szCs w:val="28"/>
        </w:rPr>
      </w:pPr>
      <w:r>
        <w:rPr>
          <w:rFonts w:hint="eastAsia" w:ascii="仿宋" w:hAnsi="仿宋" w:eastAsia="仿宋" w:cs="仿宋"/>
          <w:b/>
          <w:bCs/>
          <w:sz w:val="24"/>
          <w:szCs w:val="28"/>
        </w:rPr>
        <w:t>国际股市</w:t>
      </w:r>
    </w:p>
    <w:p>
      <w:pPr>
        <w:keepNext w:val="0"/>
        <w:keepLines w:val="0"/>
        <w:widowControl/>
        <w:suppressLineNumbers w:val="0"/>
        <w:jc w:val="left"/>
        <w:rPr>
          <w:rFonts w:hint="eastAsia" w:ascii="仿宋" w:hAnsi="仿宋" w:eastAsia="仿宋" w:cs="仿宋"/>
          <w:sz w:val="24"/>
          <w:szCs w:val="28"/>
        </w:rPr>
      </w:pP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1、目前特斯拉上海临港超级工厂再增加一班工人，由原来的单班制增至双班制，两班制仍采取闭环生产，产量已经基本与疫情封闭前的产量持平，下个月有望全面恢复到正常水平。</w:t>
      </w: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2、澳大利亚锂矿产商Liontown宣布，与特斯拉延长承购条款协议终止日期至今年6月6日，延期将允许该公司和特斯拉完成最终完整形式的承购协议的谈判。</w:t>
      </w: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3、三星电子副会长李在镕同英特尔CEO帕特·基辛格会晤，双方就新一代芯片、晶圆代工、PC和移动设备等各个领域的合作方案深入交换意见。</w:t>
      </w: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4、消息称三星今年智能手机产量将减少3000万部。另有知情人士称，三星正计划逐步退出印度功能手机市场，以聚焦智能手机业务。</w:t>
      </w: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5、丰田汽车未能实现4月份全球生产目标，因新冠肺炎疫情和零部件短缺减缓复苏进程。丰田4月全球汽车销量同比下降11.1%至76.37万辆，产量同比下降9.1%至69.23万辆，未能达到此前全球生产75万辆汽车的目标。</w:t>
      </w: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6、现代汽车集团和现代汽车郑梦九财团表示，公司将在未来5年投资1000亿韩元培育250家初创企业，借此创造6000个工作岗位。</w:t>
      </w: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7、印尼最大互联网公司GoTo发布上市后首份财报，第一季度毛收入为5.2万亿印尼盾（约合3.57亿美元），同比增长53%；调整后EBITDA亏损扩大至5.4万亿印尼盾。</w:t>
      </w:r>
    </w:p>
    <w:p>
      <w:pPr>
        <w:keepNext w:val="0"/>
        <w:keepLines w:val="0"/>
        <w:widowControl/>
        <w:numPr>
          <w:ilvl w:val="0"/>
          <w:numId w:val="3"/>
        </w:numPr>
        <w:suppressLineNumbers w:val="0"/>
        <w:ind w:left="420" w:leftChars="0" w:hanging="420" w:firstLineChars="0"/>
        <w:jc w:val="left"/>
        <w:rPr>
          <w:rFonts w:hint="eastAsia" w:ascii="仿宋" w:hAnsi="仿宋" w:eastAsia="仿宋" w:cs="仿宋"/>
          <w:b/>
          <w:bCs/>
          <w:sz w:val="24"/>
          <w:szCs w:val="28"/>
        </w:rPr>
      </w:pPr>
      <w:r>
        <w:rPr>
          <w:rFonts w:hint="eastAsia" w:ascii="仿宋" w:hAnsi="仿宋" w:eastAsia="仿宋" w:cs="仿宋"/>
          <w:b/>
          <w:bCs/>
          <w:sz w:val="24"/>
          <w:szCs w:val="28"/>
        </w:rPr>
        <w:t>商品</w:t>
      </w:r>
    </w:p>
    <w:p>
      <w:pPr>
        <w:keepNext w:val="0"/>
        <w:keepLines w:val="0"/>
        <w:widowControl/>
        <w:suppressLineNumbers w:val="0"/>
        <w:jc w:val="left"/>
        <w:rPr>
          <w:rFonts w:hint="eastAsia" w:ascii="仿宋" w:hAnsi="仿宋" w:eastAsia="仿宋" w:cs="仿宋"/>
          <w:sz w:val="24"/>
          <w:szCs w:val="28"/>
        </w:rPr>
      </w:pP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1、国内商品期货夜盘收盘多数上涨，能源化工品表现分化，乙二醇涨2.25%，PVC、塑料、纯碱涨超%，纸浆跌3.26%，燃油跌2.81%。黑色系普遍上涨，焦煤、铁矿石、焦炭涨超2%，热卷、螺纹钢涨逾1%，动力煤跌3.6%。农产品多数上涨，菜粕涨1.88%，豆一跌1.1%。</w:t>
      </w: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2、国内成品油价格迎来年内第九次上调。据国家改委，自今日起，国内汽油价格上调400元/吨，柴油价格上调390元/吨。折合升价，92号汽油价格上调0.31元/升、95号汽油和0号柴油价格均上调0.33元/升。以油箱容量50L的普通私家车计算，加满一箱92号汽油将多花15.5元左右。</w:t>
      </w: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3、发改委产业司组织召开加快推进国内重点铁矿项目建设研讨会，针对中国钢铁工业协会提出的加快国内铁矿项目建设的“基石计划”进行了认真梳理，研究讨论国内重点铁矿项目建设存在的问题，并就下一步如何加快推进国内重点铁矿项目建设工作进行了研究部署。</w:t>
      </w: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4、韩国将对7种主要食品征收零进口关税直到今年年底，包括食用油、猪肉、小麦和面粉，以帮助缓解通货膨胀的压力。另外，韩国还将延长石脑油和用于制造石脑油的原油的零进口关税至9月。</w:t>
      </w: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5、一份印度电力部信函显示，全球最大煤炭开采商印度煤炭公司进口煤炭供公用事业使用，这是2015年以来印度煤炭公司首次进口煤炭。4月以来，印度发电厂煤炭库存下降约13%，是多年来印度夏季以前最低煤炭库存水平。</w:t>
      </w: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6、乌克兰农业部日前表示，乌克兰2022年春季作物播种几乎结束，但播种面积比2021年减少22%，其中春大麦播种同比下降31%，玉米播种同比下降14%。</w:t>
      </w: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7、俄罗斯将从6月1日起至7月31日期间，对黑色金属废料和废品的出口实行关税配额制。</w:t>
      </w: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8、欧盟领导人同意对俄罗斯石油实施部分禁令，为第六轮对俄制裁铺平了道路；周一在布鲁塞尔举行的一场峰会上，两名知情人士表示，制裁将禁止购买从俄罗斯通过海路运送到欧盟成员国的原油和石油产品，但暂时豁免管道原油。</w:t>
      </w: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9、波罗的海干散货指数跌4.1%，报2571点。</w:t>
      </w:r>
    </w:p>
    <w:p>
      <w:pPr>
        <w:keepNext w:val="0"/>
        <w:keepLines w:val="0"/>
        <w:widowControl/>
        <w:numPr>
          <w:ilvl w:val="0"/>
          <w:numId w:val="3"/>
        </w:numPr>
        <w:suppressLineNumbers w:val="0"/>
        <w:ind w:left="420" w:leftChars="0" w:hanging="420" w:firstLineChars="0"/>
        <w:jc w:val="left"/>
        <w:rPr>
          <w:rFonts w:hint="eastAsia" w:ascii="仿宋" w:hAnsi="仿宋" w:eastAsia="仿宋" w:cs="仿宋"/>
          <w:b/>
          <w:bCs/>
          <w:sz w:val="24"/>
          <w:szCs w:val="28"/>
        </w:rPr>
      </w:pPr>
      <w:r>
        <w:rPr>
          <w:rFonts w:hint="eastAsia" w:ascii="仿宋" w:hAnsi="仿宋" w:eastAsia="仿宋" w:cs="仿宋"/>
          <w:b/>
          <w:bCs/>
          <w:sz w:val="24"/>
          <w:szCs w:val="28"/>
        </w:rPr>
        <w:t>债券</w:t>
      </w:r>
    </w:p>
    <w:p>
      <w:pPr>
        <w:keepNext w:val="0"/>
        <w:keepLines w:val="0"/>
        <w:widowControl/>
        <w:suppressLineNumbers w:val="0"/>
        <w:jc w:val="left"/>
        <w:rPr>
          <w:rFonts w:hint="eastAsia" w:ascii="仿宋" w:hAnsi="仿宋" w:eastAsia="仿宋" w:cs="仿宋"/>
          <w:sz w:val="24"/>
          <w:szCs w:val="28"/>
        </w:rPr>
      </w:pP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1、【债市综述】避险情绪受打压，银行间主要利率债收益率普遍上行2-3bp；国债期货全线收跌，10年期主力合约跌0.19%，5年期主力合约跌0.11%；银行间资金面依旧平稳，隔夜和七天回购利率继续小幅上行；地产债多数下跌，“20阳城04”跌超44%，19金科03”跌超15%，“19融信02”跌超12%。</w:t>
      </w: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2、中证转债指数收盘跌0.03%，成交额790.7亿元；东时转债跌超6%，迪贝转债、盘龙转债和泰林转债均跌超5%，胜蓝转债和城市转债等五只债券均跌超4%，同和转债跌逾3%，美诺转债跌近2%；“N贵轮转”涨超14%，华通转债涨超13%，“N美锦转”涨超11%，金陵转债涨逾7%。</w:t>
      </w: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3、央行5月30日开展央行票据互换（CBS）操作，操作量50亿元，期限3个月，费率0.10%。</w:t>
      </w: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4、科技创新公司债券热度空前。自上交所5月20日推出科创债以来，首批已合计发行146亿元。目前发行人探索科创领域的积极性较高，投资机构认购踊跃。多家中介机构表示，正在全面推进科创企业类、科创升级类、科创投资类和科创孵化类等各类型发行主体申报及发行科创债。</w:t>
      </w: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5、中基协数据显示，4月份，企业资产证券化产品共备案确认51只，新增备案规模合计568.10亿元，环比减少17.75%，同比减少44.37%。</w:t>
      </w: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6、【债券重大事件】花样年控股接获清盘呈请，将极力反对呈请；“20金科03”持有人会议通过调整本息兑付安排等四项议案；标普下调绿地控股集团长期发行人信用评级至“CC”，展望“负面”；穆迪下调绿地控股集团企业家族评级至“Caa2”，展望调整为“负面”；穆迪将碧桂园“Baa3”发行人评级列入评级下调观察名单；标普撤销山东能源“BB”长期发行人信用评级；“20金科03”持有人会议通过调整本息兑付安排等四项议案；“20恒大03”债券持有人会议6月1-2日召开，审议展期兑付等议案；邮储银行拟发行不超900亿元减记型无固定期限资本债券；万科拟发行不超过10亿元公司债；华润置地控股拟发行合计不超过20亿元公司债；保利置业集团拟发行不超过15亿元公司债；首创发展集团拟发行不超过23.73亿元5年期公司债；潍坊滨城建原常务副总经理杨宇被查；邵阳城投副总经理李秋明涉被调查；海安城市动迁改造法定代表人、董事长、董事被调查及无法履行职责等。</w:t>
      </w:r>
    </w:p>
    <w:p>
      <w:pPr>
        <w:keepNext w:val="0"/>
        <w:keepLines w:val="0"/>
        <w:widowControl/>
        <w:numPr>
          <w:ilvl w:val="0"/>
          <w:numId w:val="3"/>
        </w:numPr>
        <w:suppressLineNumbers w:val="0"/>
        <w:ind w:left="420" w:leftChars="0" w:hanging="420" w:firstLineChars="0"/>
        <w:jc w:val="left"/>
        <w:rPr>
          <w:rFonts w:hint="eastAsia" w:ascii="仿宋" w:hAnsi="仿宋" w:eastAsia="仿宋" w:cs="仿宋"/>
          <w:b/>
          <w:bCs/>
          <w:sz w:val="24"/>
          <w:szCs w:val="28"/>
        </w:rPr>
      </w:pPr>
      <w:r>
        <w:rPr>
          <w:rFonts w:hint="eastAsia" w:ascii="仿宋" w:hAnsi="仿宋" w:eastAsia="仿宋" w:cs="仿宋"/>
          <w:b/>
          <w:bCs/>
          <w:sz w:val="24"/>
          <w:szCs w:val="28"/>
        </w:rPr>
        <w:t>外汇</w:t>
      </w:r>
    </w:p>
    <w:p>
      <w:pPr>
        <w:keepNext w:val="0"/>
        <w:keepLines w:val="0"/>
        <w:widowControl/>
        <w:suppressLineNumbers w:val="0"/>
        <w:jc w:val="left"/>
        <w:rPr>
          <w:rFonts w:hint="eastAsia" w:ascii="仿宋" w:hAnsi="仿宋" w:eastAsia="仿宋" w:cs="仿宋"/>
          <w:sz w:val="24"/>
          <w:szCs w:val="28"/>
        </w:rPr>
      </w:pP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1、周一人民币兑美元中间价报6.7048，调升339个基点。在岸人民币兑美元16:30收盘报6.6648，较上一交易日涨433个基点；夜盘收报6.6615，较上一交易日夜盘收涨365个基点。交易员表示，国内疫情形势向好，市场风险偏好回暖，美元指数受到压制，人民币反弹。但由于分红购汇需求可能适时增加，汇价短期或仍维持宽幅震荡格局。</w:t>
      </w: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2、上周三大人民币汇率指数全线走低。据外汇交易中心，5月27日，CFETS人民币汇率指数报100.07，按周跌0.34；BIS货币篮子人民币汇率指数报104.73，按周跌0.54；SDR货币篮子人民币汇率指数报98.22，按周跌0.52。</w:t>
      </w:r>
    </w:p>
    <w:p>
      <w:pPr>
        <w:keepNext w:val="0"/>
        <w:keepLines w:val="0"/>
        <w:widowControl/>
        <w:suppressLineNumbers w:val="0"/>
        <w:jc w:val="left"/>
        <w:rPr>
          <w:rFonts w:hint="eastAsia" w:ascii="仿宋" w:hAnsi="仿宋" w:eastAsia="仿宋" w:cs="仿宋"/>
          <w:sz w:val="24"/>
          <w:szCs w:val="28"/>
        </w:rPr>
      </w:pPr>
    </w:p>
    <w:p>
      <w:pPr>
        <w:keepNext w:val="0"/>
        <w:keepLines w:val="0"/>
        <w:widowControl/>
        <w:suppressLineNumbers w:val="0"/>
        <w:jc w:val="left"/>
      </w:pPr>
      <w:r>
        <w:rPr>
          <w:rFonts w:ascii="Microsoft YaHei" w:hAnsi="Microsoft YaHei" w:eastAsia="Microsoft YaHei" w:cs="Microsoft YaHei"/>
          <w:b/>
          <w:i w:val="0"/>
          <w:caps w:val="0"/>
          <w:color w:val="333333"/>
          <w:spacing w:val="0"/>
          <w:kern w:val="0"/>
          <w:sz w:val="40"/>
          <w:szCs w:val="40"/>
          <w:u w:val="none"/>
          <w:bdr w:val="none" w:color="auto" w:sz="0" w:space="0"/>
          <w:lang w:val="en-US" w:eastAsia="zh-CN" w:bidi="ar"/>
        </w:rPr>
        <w:drawing>
          <wp:inline distT="0" distB="0" distL="114300" distR="114300">
            <wp:extent cx="5250815" cy="8835390"/>
            <wp:effectExtent l="0" t="0" r="6985" b="3810"/>
            <wp:docPr id="3"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IMG_256"/>
                    <pic:cNvPicPr>
                      <a:picLocks noChangeAspect="1"/>
                    </pic:cNvPicPr>
                  </pic:nvPicPr>
                  <pic:blipFill>
                    <a:blip r:embed="rId6"/>
                    <a:stretch>
                      <a:fillRect/>
                    </a:stretch>
                  </pic:blipFill>
                  <pic:spPr>
                    <a:xfrm>
                      <a:off x="0" y="0"/>
                      <a:ext cx="5250815" cy="8835390"/>
                    </a:xfrm>
                    <a:prstGeom prst="rect">
                      <a:avLst/>
                    </a:prstGeom>
                    <a:noFill/>
                    <a:ln w="9525">
                      <a:noFill/>
                    </a:ln>
                  </pic:spPr>
                </pic:pic>
              </a:graphicData>
            </a:graphic>
          </wp:inline>
        </w:drawing>
      </w:r>
    </w:p>
    <w:p>
      <w:pPr>
        <w:keepNext w:val="0"/>
        <w:keepLines w:val="0"/>
        <w:widowControl/>
        <w:suppressLineNumbers w:val="0"/>
        <w:jc w:val="left"/>
        <w:rPr>
          <w:rFonts w:hint="eastAsia" w:ascii="仿宋" w:hAnsi="仿宋" w:eastAsia="仿宋" w:cs="仿宋"/>
          <w:sz w:val="24"/>
          <w:szCs w:val="28"/>
        </w:rPr>
      </w:pPr>
    </w:p>
    <w:p>
      <w:pPr>
        <w:keepNext w:val="0"/>
        <w:keepLines w:val="0"/>
        <w:widowControl/>
        <w:suppressLineNumbers w:val="0"/>
        <w:jc w:val="left"/>
      </w:pPr>
    </w:p>
    <w:p>
      <w:pPr>
        <w:spacing w:after="120" w:line="288" w:lineRule="auto"/>
        <w:jc w:val="left"/>
        <w:rPr>
          <w:rFonts w:hint="eastAsia" w:ascii="仿宋" w:hAnsi="仿宋" w:eastAsia="仿宋" w:cs="仿宋"/>
          <w:sz w:val="24"/>
          <w:szCs w:val="28"/>
        </w:rPr>
      </w:pPr>
    </w:p>
    <w:p>
      <w:pPr>
        <w:spacing w:after="120" w:line="288" w:lineRule="auto"/>
        <w:jc w:val="left"/>
        <w:rPr>
          <w:rFonts w:ascii="微软雅黑" w:hAnsi="微软雅黑" w:eastAsia="微软雅黑" w:cs="Calibri"/>
          <w:b/>
          <w:iCs/>
          <w:color w:val="1F497D"/>
          <w:sz w:val="22"/>
          <w:szCs w:val="24"/>
        </w:rPr>
      </w:pPr>
      <w:r>
        <w:rPr>
          <w:rFonts w:ascii="微软雅黑" w:hAnsi="微软雅黑" w:eastAsia="微软雅黑" w:cs="Calibri"/>
          <w:b/>
          <w:iCs/>
          <w:color w:val="1F497D"/>
          <w:sz w:val="22"/>
          <w:szCs w:val="24"/>
        </w:rPr>
        <w:t>注：本文资讯内容根据网络，冠通期货编辑整理而成，仅供投资者参考。</w:t>
      </w:r>
    </w:p>
    <w:p>
      <w:pPr>
        <w:spacing w:after="120" w:line="288" w:lineRule="auto"/>
        <w:jc w:val="left"/>
        <w:rPr>
          <w:rFonts w:ascii="微软雅黑" w:hAnsi="微软雅黑" w:eastAsia="微软雅黑" w:cs="Calibri"/>
          <w:b/>
          <w:iCs/>
          <w:color w:val="1F497D"/>
          <w:sz w:val="22"/>
          <w:szCs w:val="24"/>
        </w:rPr>
      </w:pPr>
      <w:r>
        <w:rPr>
          <w:rFonts w:ascii="微软雅黑" w:hAnsi="微软雅黑" w:eastAsia="微软雅黑" w:cs="Calibri"/>
          <w:b/>
          <w:iCs/>
          <w:color w:val="1F497D"/>
          <w:sz w:val="22"/>
          <w:szCs w:val="24"/>
        </w:rPr>
        <w:t>本报告发布机构</w:t>
      </w:r>
    </w:p>
    <w:p>
      <w:pPr>
        <w:spacing w:after="120" w:line="288" w:lineRule="auto"/>
        <w:jc w:val="left"/>
        <w:rPr>
          <w:rFonts w:ascii="微软雅黑" w:hAnsi="微软雅黑" w:eastAsia="微软雅黑" w:cs="Calibri"/>
          <w:b/>
          <w:iCs/>
          <w:color w:val="1F497D"/>
          <w:sz w:val="22"/>
          <w:szCs w:val="24"/>
        </w:rPr>
      </w:pPr>
      <w:r>
        <w:rPr>
          <w:rFonts w:ascii="微软雅黑" w:hAnsi="微软雅黑" w:eastAsia="微软雅黑" w:cs="Calibri"/>
          <w:b/>
          <w:iCs/>
          <w:color w:val="1F497D"/>
          <w:sz w:val="22"/>
          <w:szCs w:val="24"/>
        </w:rPr>
        <w:t>--冠通期货股份有限公司（已获中国证监会许可的期货投资咨询业务资格）</w:t>
      </w:r>
    </w:p>
    <w:p>
      <w:pPr>
        <w:spacing w:after="120" w:line="288" w:lineRule="auto"/>
        <w:jc w:val="left"/>
        <w:rPr>
          <w:rFonts w:ascii="微软雅黑" w:hAnsi="微软雅黑" w:eastAsia="微软雅黑" w:cs="Calibri"/>
          <w:b/>
          <w:iCs/>
          <w:color w:val="1F497D"/>
          <w:sz w:val="22"/>
          <w:szCs w:val="24"/>
        </w:rPr>
      </w:pPr>
      <w:r>
        <w:rPr>
          <w:rFonts w:ascii="微软雅黑" w:hAnsi="微软雅黑" w:eastAsia="微软雅黑" w:cs="Calibri"/>
          <w:b/>
          <w:iCs/>
          <w:color w:val="1F497D"/>
          <w:sz w:val="22"/>
          <w:szCs w:val="24"/>
        </w:rPr>
        <w:t>免责声</w:t>
      </w:r>
      <w:r>
        <w:rPr>
          <w:rFonts w:ascii="微软雅黑" w:hAnsi="微软雅黑" w:eastAsia="微软雅黑" w:cs="Calibri"/>
          <w:b/>
          <w:iCs/>
          <w:color w:val="17365D"/>
          <w:sz w:val="22"/>
          <w:szCs w:val="24"/>
        </w:rPr>
        <w:t>明</w:t>
      </w:r>
      <w:r>
        <w:rPr>
          <w:rFonts w:ascii="微软雅黑" w:hAnsi="微软雅黑" w:eastAsia="微软雅黑" w:cs="Calibri"/>
          <w:b/>
          <w:iCs/>
          <w:color w:val="1F497D"/>
          <w:sz w:val="22"/>
          <w:szCs w:val="24"/>
        </w:rPr>
        <w:t>：</w:t>
      </w:r>
    </w:p>
    <w:p>
      <w:pPr>
        <w:spacing w:after="120" w:line="288" w:lineRule="auto"/>
        <w:jc w:val="left"/>
        <w:rPr>
          <w:rFonts w:ascii="微软雅黑" w:hAnsi="微软雅黑" w:eastAsia="微软雅黑" w:cs="Calibri"/>
          <w:iCs/>
          <w:sz w:val="22"/>
          <w:szCs w:val="24"/>
        </w:rPr>
      </w:pPr>
      <w:r>
        <w:rPr>
          <w:rFonts w:ascii="微软雅黑" w:hAnsi="微软雅黑" w:eastAsia="微软雅黑" w:cs="Calibri"/>
          <w:iCs/>
          <w:sz w:val="22"/>
          <w:szCs w:val="24"/>
        </w:rPr>
        <w:t>本报告中的信息均来源于公开资料，我公司对这些信息的准确性和完整性不作任何保证。报告中的内容和意见仅供参考，并不构成对所述品种买卖的出价或征价。我公司及其雇员对使用本报告及其内容所引发的任何直接或间接损失概不负责。本报告仅向特定客户传送，版权归冠通期货所有。未经我公司书面许可，任何机构和个人均不得以任何形式翻版，复制，引用或转载。如引用、转载、刊发，须注明出处为冠通期货股份有限公司。</w:t>
      </w:r>
    </w:p>
    <w:sectPr>
      <w:headerReference r:id="rId3" w:type="default"/>
      <w:footerReference r:id="rId4" w:type="default"/>
      <w:pgSz w:w="11906" w:h="16838"/>
      <w:pgMar w:top="1440" w:right="1800" w:bottom="1440" w:left="1800" w:header="851" w:footer="22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Wingdings">
    <w:panose1 w:val="05000000000000000000"/>
    <w:charset w:val="02"/>
    <w:family w:val="auto"/>
    <w:pitch w:val="default"/>
    <w:sig w:usb0="00000000" w:usb1="00000000" w:usb2="00000000" w:usb3="00000000" w:csb0="80000000" w:csb1="00000000"/>
  </w:font>
  <w:font w:name="楷体_GB2312">
    <w:altName w:val="汉仪楷体简"/>
    <w:panose1 w:val="00000000000000000000"/>
    <w:charset w:val="86"/>
    <w:family w:val="modern"/>
    <w:pitch w:val="default"/>
    <w:sig w:usb0="00000000" w:usb1="00000000" w:usb2="00000010" w:usb3="00000000" w:csb0="00040000" w:csb1="00000000"/>
  </w:font>
  <w:font w:name="微软雅黑">
    <w:altName w:val="汉仪旗黑"/>
    <w:panose1 w:val="020B0503020204020204"/>
    <w:charset w:val="86"/>
    <w:family w:val="swiss"/>
    <w:pitch w:val="default"/>
    <w:sig w:usb0="00000000" w:usb1="00000000" w:usb2="00000016" w:usb3="00000000" w:csb0="0004001F" w:csb1="00000000"/>
  </w:font>
  <w:font w:name="仿宋">
    <w:altName w:val="方正仿宋_GBK"/>
    <w:panose1 w:val="02010609060101010101"/>
    <w:charset w:val="86"/>
    <w:family w:val="modern"/>
    <w:pitch w:val="default"/>
    <w:sig w:usb0="00000000" w:usb1="00000000" w:usb2="00000016" w:usb3="00000000" w:csb0="00040001" w:csb1="00000000"/>
  </w:font>
  <w:font w:name="汉仪旗黑">
    <w:panose1 w:val="00020600040101010101"/>
    <w:charset w:val="86"/>
    <w:family w:val="auto"/>
    <w:pitch w:val="default"/>
    <w:sig w:usb0="A00002BF" w:usb1="1ACF7CFA" w:usb2="00000016" w:usb3="00000000" w:csb0="0004009F" w:csb1="DFD70000"/>
  </w:font>
  <w:font w:name="汉仪楷体简">
    <w:panose1 w:val="02010600000101010101"/>
    <w:charset w:val="86"/>
    <w:family w:val="auto"/>
    <w:pitch w:val="default"/>
    <w:sig w:usb0="00000001" w:usb1="080E0800" w:usb2="00000002" w:usb3="00000000" w:csb0="00040000" w:csb1="00000000"/>
  </w:font>
  <w:font w:name="方正仿宋_GBK">
    <w:panose1 w:val="02000000000000000000"/>
    <w:charset w:val="86"/>
    <w:family w:val="auto"/>
    <w:pitch w:val="default"/>
    <w:sig w:usb0="A00002BF" w:usb1="38CF7CFA" w:usb2="00082016" w:usb3="00000000" w:csb0="00040001" w:csb1="00000000"/>
  </w:font>
  <w:font w:name="宋体-简">
    <w:panose1 w:val="02010800040101010101"/>
    <w:charset w:val="86"/>
    <w:family w:val="auto"/>
    <w:pitch w:val="default"/>
    <w:sig w:usb0="00000001" w:usb1="080F0000" w:usb2="00000000" w:usb3="00000000" w:csb0="00040000" w:csb1="00000000"/>
  </w:font>
  <w:font w:name="仿宋">
    <w:altName w:val="方正仿宋_GBK"/>
    <w:panose1 w:val="00000000000000000000"/>
    <w:charset w:val="00"/>
    <w:family w:val="auto"/>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80000000" w:csb1="00000000"/>
  </w:font>
  <w:font w:name="Webdings">
    <w:panose1 w:val="05030102010509060703"/>
    <w:charset w:val="00"/>
    <w:family w:val="auto"/>
    <w:pitch w:val="default"/>
    <w:sig w:usb0="00000000" w:usb1="00000000" w:usb2="00000000" w:usb3="00000000" w:csb0="80000000" w:csb1="00000000"/>
  </w:font>
  <w:font w:name="Microsoft YaHei">
    <w:altName w:val="汉仪旗黑"/>
    <w:panose1 w:val="00000000000000000000"/>
    <w:charset w:val="00"/>
    <w:family w:val="auto"/>
    <w:pitch w:val="default"/>
    <w:sig w:usb0="00000000" w:usb1="00000000" w:usb2="00000000" w:usb3="00000000" w:csb0="00000000" w:csb1="00000000"/>
  </w:font>
  <w:font w:name="PingFangHK">
    <w:altName w:val="苹方-简"/>
    <w:panose1 w:val="00000000000000000000"/>
    <w:charset w:val="00"/>
    <w:family w:val="auto"/>
    <w:pitch w:val="default"/>
    <w:sig w:usb0="00000000" w:usb1="00000000" w:usb2="00000000" w:usb3="00000000" w:csb0="00000000" w:csb1="00000000"/>
  </w:font>
  <w:font w:name="Tahoma">
    <w:panose1 w:val="020B0804030504040204"/>
    <w:charset w:val="00"/>
    <w:family w:val="auto"/>
    <w:pitch w:val="default"/>
    <w:sig w:usb0="E1002AFF" w:usb1="C000605B" w:usb2="00000029" w:usb3="00000000" w:csb0="200101FF" w:csb1="20280000"/>
  </w:font>
  <w:font w:name="-apple-system">
    <w:altName w:val="苹方-简"/>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rPr>
        <w:b/>
        <w:color w:val="8DB3E2"/>
      </w:rPr>
    </w:pPr>
    <w:r>
      <w:rPr>
        <w:rFonts w:hint="eastAsia"/>
        <w:b/>
        <w:color w:val="8DB3E2"/>
      </w:rPr>
      <w:t>投资有风险，入市需谨慎。</w:t>
    </w:r>
  </w:p>
  <w:p>
    <w:pPr>
      <w:pStyle w:val="13"/>
      <w:jc w:val="center"/>
    </w:pPr>
    <w:r>
      <w:rPr>
        <w:rFonts w:hint="eastAsia"/>
        <w:b/>
        <w:color w:val="8DB3E2"/>
      </w:rPr>
      <w:t>本公司具备期货投资咨询业务资格，请务必阅读最后一页免责声明。</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0"/>
      <w:tblpPr w:leftFromText="180" w:rightFromText="180" w:vertAnchor="page" w:horzAnchor="page" w:tblpX="1837" w:tblpY="423"/>
      <w:tblOverlap w:val="never"/>
      <w:tblW w:w="0" w:type="auto"/>
      <w:tblInd w:w="0" w:type="dxa"/>
      <w:tblLayout w:type="fixed"/>
      <w:tblCellMar>
        <w:top w:w="0" w:type="dxa"/>
        <w:left w:w="108" w:type="dxa"/>
        <w:bottom w:w="0" w:type="dxa"/>
        <w:right w:w="108" w:type="dxa"/>
      </w:tblCellMar>
    </w:tblPr>
    <w:tblGrid>
      <w:gridCol w:w="8522"/>
    </w:tblGrid>
    <w:tr>
      <w:tc>
        <w:tcPr>
          <w:tcW w:w="8522" w:type="dxa"/>
        </w:tcPr>
        <w:p>
          <w:pPr>
            <w:rPr>
              <w:sz w:val="28"/>
            </w:rPr>
          </w:pPr>
          <w:r>
            <w:rPr>
              <w:sz w:val="28"/>
            </w:rPr>
            <w:drawing>
              <wp:inline distT="0" distB="0" distL="0" distR="0">
                <wp:extent cx="2514600" cy="466725"/>
                <wp:effectExtent l="0" t="0" r="0" b="9525"/>
                <wp:docPr id="4097" name="图片 5" descr="公司全称"/>
                <wp:cNvGraphicFramePr/>
                <a:graphic xmlns:a="http://schemas.openxmlformats.org/drawingml/2006/main">
                  <a:graphicData uri="http://schemas.openxmlformats.org/drawingml/2006/picture">
                    <pic:pic xmlns:pic="http://schemas.openxmlformats.org/drawingml/2006/picture">
                      <pic:nvPicPr>
                        <pic:cNvPr id="4097" name="图片 5" descr="公司全称"/>
                        <pic:cNvPicPr/>
                      </pic:nvPicPr>
                      <pic:blipFill>
                        <a:blip r:embed="rId1" cstate="print"/>
                        <a:srcRect/>
                        <a:stretch>
                          <a:fillRect/>
                        </a:stretch>
                      </pic:blipFill>
                      <pic:spPr>
                        <a:xfrm>
                          <a:off x="0" y="0"/>
                          <a:ext cx="2514600" cy="466725"/>
                        </a:xfrm>
                        <a:prstGeom prst="rect">
                          <a:avLst/>
                        </a:prstGeom>
                        <a:ln>
                          <a:noFill/>
                        </a:ln>
                      </pic:spPr>
                    </pic:pic>
                  </a:graphicData>
                </a:graphic>
              </wp:inline>
            </w:drawing>
          </w:r>
          <w:r>
            <w:rPr>
              <w:sz w:val="28"/>
            </w:rPr>
            <mc:AlternateContent>
              <mc:Choice Requires="wpg">
                <w:drawing>
                  <wp:anchor distT="0" distB="0" distL="0" distR="0" simplePos="0" relativeHeight="251659264" behindDoc="0" locked="0" layoutInCell="1" allowOverlap="1">
                    <wp:simplePos x="0" y="0"/>
                    <wp:positionH relativeFrom="column">
                      <wp:posOffset>2486025</wp:posOffset>
                    </wp:positionH>
                    <wp:positionV relativeFrom="paragraph">
                      <wp:posOffset>60325</wp:posOffset>
                    </wp:positionV>
                    <wp:extent cx="2867025" cy="424180"/>
                    <wp:effectExtent l="3810" t="4445" r="0" b="0"/>
                    <wp:wrapNone/>
                    <wp:docPr id="4098" name="组合 7"/>
                    <wp:cNvGraphicFramePr/>
                    <a:graphic xmlns:a="http://schemas.openxmlformats.org/drawingml/2006/main">
                      <a:graphicData uri="http://schemas.microsoft.com/office/word/2010/wordprocessingGroup">
                        <wpg:wgp>
                          <wpg:cNvGrpSpPr/>
                          <wpg:grpSpPr>
                            <a:xfrm>
                              <a:off x="0" y="0"/>
                              <a:ext cx="2867025" cy="424180"/>
                              <a:chOff x="0" y="0"/>
                              <a:chExt cx="4515" cy="668"/>
                            </a:xfrm>
                          </wpg:grpSpPr>
                          <wps:wsp>
                            <wps:cNvPr id="1" name="矩形 1"/>
                            <wps:cNvSpPr/>
                            <wps:spPr>
                              <a:xfrm>
                                <a:off x="150" y="525"/>
                                <a:ext cx="4365" cy="143"/>
                              </a:xfrm>
                              <a:prstGeom prst="rect">
                                <a:avLst/>
                              </a:prstGeom>
                              <a:gradFill flip="none" rotWithShape="0">
                                <a:gsLst>
                                  <a:gs pos="0">
                                    <a:srgbClr val="FFFFFF"/>
                                  </a:gs>
                                  <a:gs pos="100000">
                                    <a:srgbClr val="4F81BD"/>
                                  </a:gs>
                                </a:gsLst>
                                <a:lin ang="0" scaled="1"/>
                              </a:gradFill>
                              <a:ln>
                                <a:noFill/>
                              </a:ln>
                            </wps:spPr>
                            <wps:bodyPr/>
                          </wps:wsp>
                          <wps:wsp>
                            <wps:cNvPr id="2" name="矩形 2"/>
                            <wps:cNvSpPr/>
                            <wps:spPr>
                              <a:xfrm>
                                <a:off x="0" y="0"/>
                                <a:ext cx="4290" cy="623"/>
                              </a:xfrm>
                              <a:prstGeom prst="rect">
                                <a:avLst/>
                              </a:prstGeom>
                              <a:solidFill>
                                <a:srgbClr val="FFFFFF">
                                  <a:alpha val="0"/>
                                </a:srgbClr>
                              </a:solidFill>
                              <a:ln>
                                <a:noFill/>
                              </a:ln>
                            </wps:spPr>
                            <wps:txbx>
                              <w:txbxContent>
                                <w:p>
                                  <w:pPr>
                                    <w:spacing w:after="0" w:line="200" w:lineRule="exact"/>
                                    <w:rPr>
                                      <w:rFonts w:ascii="楷体_GB2312" w:eastAsia="楷体_GB2312"/>
                                      <w:sz w:val="13"/>
                                      <w:szCs w:val="13"/>
                                    </w:rPr>
                                  </w:pPr>
                                  <w:r>
                                    <w:rPr>
                                      <w:rFonts w:hint="eastAsia" w:ascii="楷体_GB2312" w:eastAsia="楷体_GB2312"/>
                                      <w:sz w:val="13"/>
                                      <w:szCs w:val="13"/>
                                    </w:rPr>
                                    <w:t>地址：北京市朝阳区朝阳门外大街甲6号万通中心D座20层（100020）</w:t>
                                  </w:r>
                                </w:p>
                                <w:p>
                                  <w:pPr>
                                    <w:spacing w:after="0" w:line="200" w:lineRule="exact"/>
                                    <w:rPr>
                                      <w:rFonts w:ascii="楷体_GB2312" w:eastAsia="楷体_GB2312"/>
                                      <w:sz w:val="13"/>
                                      <w:szCs w:val="13"/>
                                    </w:rPr>
                                  </w:pPr>
                                  <w:r>
                                    <w:rPr>
                                      <w:rFonts w:hint="eastAsia" w:ascii="楷体_GB2312" w:eastAsia="楷体_GB2312"/>
                                      <w:sz w:val="13"/>
                                      <w:szCs w:val="13"/>
                                    </w:rPr>
                                    <w:t>总机：010-8535 6666</w:t>
                                  </w:r>
                                </w:p>
                              </w:txbxContent>
                            </wps:txbx>
                            <wps:bodyPr vert="horz" wrap="square" lIns="91440" tIns="45720" rIns="91440" bIns="45720" anchor="t" upright="1">
                              <a:noAutofit/>
                            </wps:bodyPr>
                          </wps:wsp>
                        </wpg:wgp>
                      </a:graphicData>
                    </a:graphic>
                  </wp:anchor>
                </w:drawing>
              </mc:Choice>
              <mc:Fallback>
                <w:pict>
                  <v:group id="组合 7" o:spid="_x0000_s1026" o:spt="203" style="position:absolute;left:0pt;margin-left:195.75pt;margin-top:4.75pt;height:33.4pt;width:225.75pt;z-index:251659264;mso-width-relative:page;mso-height-relative:page;" coordsize="4515,668" o:gfxdata="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">
                    <o:lock v:ext="edit" aspectratio="f"/>
                    <v:rect id="_x0000_s1026" o:spid="_x0000_s1026" o:spt="1" style="position:absolute;left:150;top:525;height:143;width:4365;" fillcolor="#FFFFFF" filled="t" stroked="f" coordsize="21600,21600" o:gfxdata="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Naaub27AAAA2gAAAA8AAAAAAAAAAQAgAAAAOAAAAGRycy9kb3ducmV2Lnht&#10;bFBLAQIUABQAAAAIAIdO4kAzLwWeOwAAADkAAAAQAAAAAAAAAAEAIAAAACABAABkcnMvc2hhcGV4&#10;bWwueG1sUEsFBgAAAAAGAAYAWwEAAMoDAAAAAA==&#10;">
                      <v:fill type="gradient" on="t" color2="#4F81BD" angle="90" focus="100%" focussize="0,0"/>
                      <v:stroke on="f"/>
                      <v:imagedata o:title=""/>
                      <o:lock v:ext="edit" aspectratio="f"/>
                    </v:rect>
                    <v:rect id="_x0000_s1026" o:spid="_x0000_s1026" o:spt="1" style="position:absolute;left:0;top:0;height:623;width:4290;" fillcolor="#FFFFFF" filled="t" stroked="f" coordsize="21600,21600" o:gfxdata="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Mkwfle7AAAA2gAAAA8AAAAAAAAAAQAgAAAAOAAAAGRycy9kb3ducmV2Lnht&#10;bFBLAQIUABQAAAAIAIdO4kAzLwWeOwAAADkAAAAQAAAAAAAAAAEAIAAAACABAABkcnMvc2hhcGV4&#10;bWwueG1sUEsFBgAAAAAGAAYAWwEAAMoDAAAAAA==&#10;">
                      <v:fill on="t" opacity="0f" focussize="0,0"/>
                      <v:stroke on="f"/>
                      <v:imagedata o:title=""/>
                      <o:lock v:ext="edit" aspectratio="f"/>
                      <v:textbox>
                        <w:txbxContent>
                          <w:p>
                            <w:pPr>
                              <w:spacing w:after="0" w:line="200" w:lineRule="exact"/>
                              <w:rPr>
                                <w:rFonts w:ascii="楷体_GB2312" w:eastAsia="楷体_GB2312"/>
                                <w:sz w:val="13"/>
                                <w:szCs w:val="13"/>
                              </w:rPr>
                            </w:pPr>
                            <w:r>
                              <w:rPr>
                                <w:rFonts w:hint="eastAsia" w:ascii="楷体_GB2312" w:eastAsia="楷体_GB2312"/>
                                <w:sz w:val="13"/>
                                <w:szCs w:val="13"/>
                              </w:rPr>
                              <w:t>地址：北京市朝阳区朝阳门外大街甲6号万通中心D座20层（100020）</w:t>
                            </w:r>
                          </w:p>
                          <w:p>
                            <w:pPr>
                              <w:spacing w:after="0" w:line="200" w:lineRule="exact"/>
                              <w:rPr>
                                <w:rFonts w:ascii="楷体_GB2312" w:eastAsia="楷体_GB2312"/>
                                <w:sz w:val="13"/>
                                <w:szCs w:val="13"/>
                              </w:rPr>
                            </w:pPr>
                            <w:r>
                              <w:rPr>
                                <w:rFonts w:hint="eastAsia" w:ascii="楷体_GB2312" w:eastAsia="楷体_GB2312"/>
                                <w:sz w:val="13"/>
                                <w:szCs w:val="13"/>
                              </w:rPr>
                              <w:t>总机：010-8535 6666</w:t>
                            </w:r>
                          </w:p>
                        </w:txbxContent>
                      </v:textbox>
                    </v:rect>
                  </v:group>
                </w:pict>
              </mc:Fallback>
            </mc:AlternateContent>
          </w:r>
        </w:p>
      </w:tc>
    </w:tr>
  </w:tbl>
  <w:p>
    <w:pPr>
      <w:pStyle w:val="14"/>
      <w:jc w:val="left"/>
      <w:rPr>
        <w:rFonts w:hint="eastAsia"/>
        <w:b/>
        <w:i/>
        <w:color w:val="8DB3E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BB4C1E"/>
    <w:multiLevelType w:val="multilevel"/>
    <w:tmpl w:val="33BB4C1E"/>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62955EFB"/>
    <w:multiLevelType w:val="singleLevel"/>
    <w:tmpl w:val="62955EFB"/>
    <w:lvl w:ilvl="0" w:tentative="0">
      <w:start w:val="1"/>
      <w:numFmt w:val="bullet"/>
      <w:lvlText w:val=""/>
      <w:lvlJc w:val="left"/>
      <w:pPr>
        <w:ind w:left="420" w:leftChars="0" w:hanging="420" w:firstLineChars="0"/>
      </w:pPr>
      <w:rPr>
        <w:rFonts w:hint="default" w:ascii="Wingdings" w:hAnsi="Wingdings"/>
      </w:rPr>
    </w:lvl>
  </w:abstractNum>
  <w:abstractNum w:abstractNumId="2">
    <w:nsid w:val="62955FE3"/>
    <w:multiLevelType w:val="singleLevel"/>
    <w:tmpl w:val="62955FE3"/>
    <w:lvl w:ilvl="0" w:tentative="0">
      <w:start w:val="1"/>
      <w:numFmt w:val="bullet"/>
      <w:lvlText w:val=""/>
      <w:lvlJc w:val="left"/>
      <w:pPr>
        <w:ind w:left="420" w:leftChars="0" w:hanging="420" w:firstLineChars="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bordersDoNotSurroundHeader w:val="0"/>
  <w:bordersDoNotSurroundFooter w:val="0"/>
  <w:documentProtection w:enforcement="0"/>
  <w:defaultTabStop w:val="420"/>
  <w:drawingGridHorizontalSpacing w:val="10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FhMTk2YjlkNTJiYTBlYTNjZGYyMzJiYjA5MDRjNWQifQ=="/>
  </w:docVars>
  <w:rsids>
    <w:rsidRoot w:val="005152AA"/>
    <w:rsid w:val="000256A8"/>
    <w:rsid w:val="000C318D"/>
    <w:rsid w:val="000E1126"/>
    <w:rsid w:val="00126DF5"/>
    <w:rsid w:val="001703DF"/>
    <w:rsid w:val="00185335"/>
    <w:rsid w:val="001C7A10"/>
    <w:rsid w:val="00265C49"/>
    <w:rsid w:val="002E4659"/>
    <w:rsid w:val="0034732A"/>
    <w:rsid w:val="00365D0F"/>
    <w:rsid w:val="00372BF5"/>
    <w:rsid w:val="003B3775"/>
    <w:rsid w:val="003D0905"/>
    <w:rsid w:val="003D161E"/>
    <w:rsid w:val="00467936"/>
    <w:rsid w:val="004C251D"/>
    <w:rsid w:val="004D60A3"/>
    <w:rsid w:val="005048B4"/>
    <w:rsid w:val="005152AA"/>
    <w:rsid w:val="0070094B"/>
    <w:rsid w:val="00726801"/>
    <w:rsid w:val="007B6A48"/>
    <w:rsid w:val="007C01CD"/>
    <w:rsid w:val="0084255C"/>
    <w:rsid w:val="00846B0B"/>
    <w:rsid w:val="00905A79"/>
    <w:rsid w:val="0093015D"/>
    <w:rsid w:val="00AB4C6E"/>
    <w:rsid w:val="00AC2483"/>
    <w:rsid w:val="00B70033"/>
    <w:rsid w:val="00BB144D"/>
    <w:rsid w:val="00BC2755"/>
    <w:rsid w:val="00C278C7"/>
    <w:rsid w:val="00C623B6"/>
    <w:rsid w:val="00CA05AD"/>
    <w:rsid w:val="00CD1ADD"/>
    <w:rsid w:val="00D03B67"/>
    <w:rsid w:val="00D73B08"/>
    <w:rsid w:val="00DD5AFE"/>
    <w:rsid w:val="00DF4C7F"/>
    <w:rsid w:val="00DF6490"/>
    <w:rsid w:val="00E30089"/>
    <w:rsid w:val="00E426CE"/>
    <w:rsid w:val="00F06A82"/>
    <w:rsid w:val="00F12143"/>
    <w:rsid w:val="00F4613B"/>
    <w:rsid w:val="00F72558"/>
    <w:rsid w:val="00FA7419"/>
    <w:rsid w:val="00FF6D81"/>
    <w:rsid w:val="08855CA2"/>
    <w:rsid w:val="1D482037"/>
    <w:rsid w:val="1D533F46"/>
    <w:rsid w:val="1DF93E7B"/>
    <w:rsid w:val="1F6ED227"/>
    <w:rsid w:val="2EFF9C5B"/>
    <w:rsid w:val="2FB63C32"/>
    <w:rsid w:val="30AFF083"/>
    <w:rsid w:val="378F7ACD"/>
    <w:rsid w:val="37D77E59"/>
    <w:rsid w:val="5DEFECEF"/>
    <w:rsid w:val="657D161F"/>
    <w:rsid w:val="67E4651E"/>
    <w:rsid w:val="6F3F6644"/>
    <w:rsid w:val="6FBD827A"/>
    <w:rsid w:val="6FF3D9E0"/>
    <w:rsid w:val="76DF05C7"/>
    <w:rsid w:val="7AEBE989"/>
    <w:rsid w:val="7DFE235B"/>
    <w:rsid w:val="7FD59CB2"/>
    <w:rsid w:val="7FEF5DAA"/>
    <w:rsid w:val="937C7D1B"/>
    <w:rsid w:val="B3FF25F0"/>
    <w:rsid w:val="B7EB2313"/>
    <w:rsid w:val="DDFFD333"/>
    <w:rsid w:val="EF3E958F"/>
    <w:rsid w:val="EFFF22C8"/>
    <w:rsid w:val="F7FFDF52"/>
    <w:rsid w:val="F99FC0A2"/>
    <w:rsid w:val="F9CF77D7"/>
    <w:rsid w:val="FEDD926B"/>
    <w:rsid w:val="FFFC0F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jc w:val="both"/>
    </w:pPr>
    <w:rPr>
      <w:rFonts w:ascii="Calibri" w:hAnsi="Calibri" w:eastAsia="宋体" w:cs="宋体"/>
      <w:lang w:val="en-US" w:eastAsia="zh-CN" w:bidi="ar-SA"/>
    </w:rPr>
  </w:style>
  <w:style w:type="paragraph" w:styleId="2">
    <w:name w:val="heading 1"/>
    <w:basedOn w:val="1"/>
    <w:next w:val="1"/>
    <w:link w:val="28"/>
    <w:qFormat/>
    <w:uiPriority w:val="9"/>
    <w:pPr>
      <w:spacing w:before="300" w:after="40"/>
      <w:jc w:val="left"/>
      <w:outlineLvl w:val="0"/>
    </w:pPr>
    <w:rPr>
      <w:smallCaps/>
      <w:spacing w:val="5"/>
      <w:sz w:val="32"/>
      <w:szCs w:val="32"/>
    </w:rPr>
  </w:style>
  <w:style w:type="paragraph" w:styleId="3">
    <w:name w:val="heading 2"/>
    <w:basedOn w:val="1"/>
    <w:next w:val="1"/>
    <w:link w:val="29"/>
    <w:qFormat/>
    <w:uiPriority w:val="9"/>
    <w:pPr>
      <w:spacing w:before="240" w:after="80"/>
      <w:jc w:val="left"/>
      <w:outlineLvl w:val="1"/>
    </w:pPr>
    <w:rPr>
      <w:smallCaps/>
      <w:spacing w:val="5"/>
      <w:sz w:val="28"/>
      <w:szCs w:val="28"/>
    </w:rPr>
  </w:style>
  <w:style w:type="paragraph" w:styleId="4">
    <w:name w:val="heading 3"/>
    <w:basedOn w:val="1"/>
    <w:next w:val="1"/>
    <w:link w:val="30"/>
    <w:qFormat/>
    <w:uiPriority w:val="9"/>
    <w:pPr>
      <w:spacing w:after="0"/>
      <w:jc w:val="left"/>
      <w:outlineLvl w:val="2"/>
    </w:pPr>
    <w:rPr>
      <w:smallCaps/>
      <w:spacing w:val="5"/>
      <w:sz w:val="24"/>
      <w:szCs w:val="24"/>
    </w:rPr>
  </w:style>
  <w:style w:type="paragraph" w:styleId="5">
    <w:name w:val="heading 4"/>
    <w:basedOn w:val="1"/>
    <w:next w:val="1"/>
    <w:link w:val="31"/>
    <w:qFormat/>
    <w:uiPriority w:val="9"/>
    <w:pPr>
      <w:spacing w:before="240" w:after="0"/>
      <w:jc w:val="left"/>
      <w:outlineLvl w:val="3"/>
    </w:pPr>
    <w:rPr>
      <w:smallCaps/>
      <w:spacing w:val="10"/>
      <w:sz w:val="22"/>
      <w:szCs w:val="22"/>
    </w:rPr>
  </w:style>
  <w:style w:type="paragraph" w:styleId="6">
    <w:name w:val="heading 5"/>
    <w:basedOn w:val="1"/>
    <w:next w:val="1"/>
    <w:link w:val="32"/>
    <w:qFormat/>
    <w:uiPriority w:val="9"/>
    <w:pPr>
      <w:spacing w:before="200" w:after="0"/>
      <w:jc w:val="left"/>
      <w:outlineLvl w:val="4"/>
    </w:pPr>
    <w:rPr>
      <w:smallCaps/>
      <w:color w:val="4381CF"/>
      <w:spacing w:val="10"/>
      <w:sz w:val="22"/>
      <w:szCs w:val="26"/>
    </w:rPr>
  </w:style>
  <w:style w:type="paragraph" w:styleId="7">
    <w:name w:val="heading 6"/>
    <w:basedOn w:val="1"/>
    <w:next w:val="1"/>
    <w:link w:val="33"/>
    <w:qFormat/>
    <w:uiPriority w:val="9"/>
    <w:pPr>
      <w:spacing w:after="0"/>
      <w:jc w:val="left"/>
      <w:outlineLvl w:val="5"/>
    </w:pPr>
    <w:rPr>
      <w:smallCaps/>
      <w:color w:val="8DB3E2"/>
      <w:spacing w:val="5"/>
      <w:sz w:val="22"/>
    </w:rPr>
  </w:style>
  <w:style w:type="paragraph" w:styleId="8">
    <w:name w:val="heading 7"/>
    <w:basedOn w:val="1"/>
    <w:next w:val="1"/>
    <w:link w:val="34"/>
    <w:qFormat/>
    <w:uiPriority w:val="9"/>
    <w:pPr>
      <w:spacing w:after="0"/>
      <w:jc w:val="left"/>
      <w:outlineLvl w:val="6"/>
    </w:pPr>
    <w:rPr>
      <w:b/>
      <w:smallCaps/>
      <w:color w:val="8DB3E2"/>
      <w:spacing w:val="10"/>
    </w:rPr>
  </w:style>
  <w:style w:type="paragraph" w:styleId="9">
    <w:name w:val="heading 8"/>
    <w:basedOn w:val="1"/>
    <w:next w:val="1"/>
    <w:link w:val="35"/>
    <w:qFormat/>
    <w:uiPriority w:val="9"/>
    <w:pPr>
      <w:spacing w:after="0"/>
      <w:jc w:val="left"/>
      <w:outlineLvl w:val="7"/>
    </w:pPr>
    <w:rPr>
      <w:b/>
      <w:i/>
      <w:smallCaps/>
      <w:color w:val="4381CF"/>
    </w:rPr>
  </w:style>
  <w:style w:type="paragraph" w:styleId="10">
    <w:name w:val="heading 9"/>
    <w:basedOn w:val="1"/>
    <w:next w:val="1"/>
    <w:link w:val="36"/>
    <w:qFormat/>
    <w:uiPriority w:val="9"/>
    <w:pPr>
      <w:spacing w:after="0"/>
      <w:jc w:val="left"/>
      <w:outlineLvl w:val="8"/>
    </w:pPr>
    <w:rPr>
      <w:b/>
      <w:i/>
      <w:smallCaps/>
      <w:color w:val="255692"/>
    </w:rPr>
  </w:style>
  <w:style w:type="character" w:default="1" w:styleId="17">
    <w:name w:val="Default Paragraph Font"/>
    <w:unhideWhenUsed/>
    <w:qFormat/>
    <w:uiPriority w:val="1"/>
  </w:style>
  <w:style w:type="table" w:default="1" w:styleId="20">
    <w:name w:val="Normal Table"/>
    <w:unhideWhenUsed/>
    <w:qFormat/>
    <w:uiPriority w:val="99"/>
    <w:tblPr>
      <w:tblCellMar>
        <w:top w:w="0" w:type="dxa"/>
        <w:left w:w="108" w:type="dxa"/>
        <w:bottom w:w="0" w:type="dxa"/>
        <w:right w:w="108" w:type="dxa"/>
      </w:tblCellMar>
    </w:tblPr>
  </w:style>
  <w:style w:type="paragraph" w:styleId="11">
    <w:name w:val="caption"/>
    <w:basedOn w:val="1"/>
    <w:next w:val="1"/>
    <w:qFormat/>
    <w:uiPriority w:val="35"/>
    <w:rPr>
      <w:b/>
      <w:bCs/>
      <w:caps/>
      <w:sz w:val="16"/>
      <w:szCs w:val="18"/>
    </w:rPr>
  </w:style>
  <w:style w:type="paragraph" w:styleId="12">
    <w:name w:val="Balloon Text"/>
    <w:basedOn w:val="1"/>
    <w:link w:val="22"/>
    <w:qFormat/>
    <w:uiPriority w:val="99"/>
    <w:rPr>
      <w:sz w:val="18"/>
      <w:szCs w:val="18"/>
    </w:rPr>
  </w:style>
  <w:style w:type="paragraph" w:styleId="13">
    <w:name w:val="footer"/>
    <w:basedOn w:val="1"/>
    <w:link w:val="24"/>
    <w:qFormat/>
    <w:uiPriority w:val="99"/>
    <w:pPr>
      <w:tabs>
        <w:tab w:val="center" w:pos="4153"/>
        <w:tab w:val="right" w:pos="8306"/>
      </w:tabs>
      <w:snapToGrid w:val="0"/>
    </w:pPr>
    <w:rPr>
      <w:sz w:val="18"/>
      <w:szCs w:val="18"/>
    </w:rPr>
  </w:style>
  <w:style w:type="paragraph" w:styleId="14">
    <w:name w:val="header"/>
    <w:basedOn w:val="1"/>
    <w:link w:val="23"/>
    <w:qFormat/>
    <w:uiPriority w:val="99"/>
    <w:pPr>
      <w:pBdr>
        <w:bottom w:val="single" w:color="auto" w:sz="6" w:space="1"/>
      </w:pBdr>
      <w:tabs>
        <w:tab w:val="center" w:pos="4153"/>
        <w:tab w:val="right" w:pos="8306"/>
      </w:tabs>
      <w:snapToGrid w:val="0"/>
      <w:jc w:val="center"/>
    </w:pPr>
    <w:rPr>
      <w:sz w:val="18"/>
      <w:szCs w:val="18"/>
    </w:rPr>
  </w:style>
  <w:style w:type="paragraph" w:styleId="15">
    <w:name w:val="Subtitle"/>
    <w:basedOn w:val="1"/>
    <w:next w:val="1"/>
    <w:link w:val="37"/>
    <w:qFormat/>
    <w:uiPriority w:val="11"/>
    <w:pPr>
      <w:spacing w:after="720" w:line="240" w:lineRule="auto"/>
      <w:jc w:val="right"/>
    </w:pPr>
    <w:rPr>
      <w:rFonts w:ascii="Cambria" w:hAnsi="Cambria"/>
      <w:szCs w:val="22"/>
    </w:rPr>
  </w:style>
  <w:style w:type="paragraph" w:styleId="16">
    <w:name w:val="Title"/>
    <w:basedOn w:val="1"/>
    <w:next w:val="1"/>
    <w:link w:val="27"/>
    <w:qFormat/>
    <w:uiPriority w:val="10"/>
    <w:pPr>
      <w:pBdr>
        <w:top w:val="single" w:color="8DB3E2" w:sz="12" w:space="1"/>
      </w:pBdr>
      <w:spacing w:line="240" w:lineRule="auto"/>
      <w:jc w:val="right"/>
    </w:pPr>
    <w:rPr>
      <w:smallCaps/>
      <w:sz w:val="48"/>
      <w:szCs w:val="48"/>
    </w:rPr>
  </w:style>
  <w:style w:type="character" w:styleId="18">
    <w:name w:val="Strong"/>
    <w:qFormat/>
    <w:uiPriority w:val="22"/>
    <w:rPr>
      <w:b/>
      <w:color w:val="8DB3E2"/>
    </w:rPr>
  </w:style>
  <w:style w:type="character" w:styleId="19">
    <w:name w:val="Emphasis"/>
    <w:qFormat/>
    <w:uiPriority w:val="20"/>
    <w:rPr>
      <w:b/>
      <w:i/>
      <w:spacing w:val="10"/>
    </w:rPr>
  </w:style>
  <w:style w:type="paragraph" w:customStyle="1" w:styleId="21">
    <w:name w:val="List Paragraph"/>
    <w:basedOn w:val="1"/>
    <w:qFormat/>
    <w:uiPriority w:val="34"/>
    <w:pPr>
      <w:ind w:left="720"/>
      <w:contextualSpacing/>
    </w:pPr>
  </w:style>
  <w:style w:type="character" w:customStyle="1" w:styleId="22">
    <w:name w:val="批注框文本 字符"/>
    <w:basedOn w:val="17"/>
    <w:link w:val="12"/>
    <w:qFormat/>
    <w:uiPriority w:val="99"/>
    <w:rPr>
      <w:sz w:val="18"/>
      <w:szCs w:val="18"/>
    </w:rPr>
  </w:style>
  <w:style w:type="character" w:customStyle="1" w:styleId="23">
    <w:name w:val="页眉 字符"/>
    <w:basedOn w:val="17"/>
    <w:link w:val="14"/>
    <w:qFormat/>
    <w:uiPriority w:val="99"/>
    <w:rPr>
      <w:sz w:val="18"/>
      <w:szCs w:val="18"/>
    </w:rPr>
  </w:style>
  <w:style w:type="character" w:customStyle="1" w:styleId="24">
    <w:name w:val="页脚 字符"/>
    <w:basedOn w:val="17"/>
    <w:link w:val="13"/>
    <w:qFormat/>
    <w:uiPriority w:val="99"/>
    <w:rPr>
      <w:sz w:val="18"/>
      <w:szCs w:val="18"/>
    </w:rPr>
  </w:style>
  <w:style w:type="paragraph" w:customStyle="1" w:styleId="25">
    <w:name w:val="Quote"/>
    <w:basedOn w:val="1"/>
    <w:next w:val="1"/>
    <w:link w:val="26"/>
    <w:qFormat/>
    <w:uiPriority w:val="29"/>
    <w:rPr>
      <w:i/>
    </w:rPr>
  </w:style>
  <w:style w:type="character" w:customStyle="1" w:styleId="26">
    <w:name w:val="引用 字符"/>
    <w:basedOn w:val="17"/>
    <w:link w:val="25"/>
    <w:qFormat/>
    <w:uiPriority w:val="29"/>
    <w:rPr>
      <w:i/>
    </w:rPr>
  </w:style>
  <w:style w:type="character" w:customStyle="1" w:styleId="27">
    <w:name w:val="标题 字符"/>
    <w:basedOn w:val="17"/>
    <w:link w:val="16"/>
    <w:qFormat/>
    <w:uiPriority w:val="10"/>
    <w:rPr>
      <w:smallCaps/>
      <w:sz w:val="48"/>
      <w:szCs w:val="48"/>
    </w:rPr>
  </w:style>
  <w:style w:type="character" w:customStyle="1" w:styleId="28">
    <w:name w:val="标题 1 字符"/>
    <w:basedOn w:val="17"/>
    <w:link w:val="2"/>
    <w:qFormat/>
    <w:uiPriority w:val="9"/>
    <w:rPr>
      <w:smallCaps/>
      <w:spacing w:val="5"/>
      <w:sz w:val="32"/>
      <w:szCs w:val="32"/>
    </w:rPr>
  </w:style>
  <w:style w:type="character" w:customStyle="1" w:styleId="29">
    <w:name w:val="标题 2 字符"/>
    <w:basedOn w:val="17"/>
    <w:link w:val="3"/>
    <w:qFormat/>
    <w:uiPriority w:val="9"/>
    <w:rPr>
      <w:smallCaps/>
      <w:spacing w:val="5"/>
      <w:sz w:val="28"/>
      <w:szCs w:val="28"/>
    </w:rPr>
  </w:style>
  <w:style w:type="character" w:customStyle="1" w:styleId="30">
    <w:name w:val="标题 3 字符"/>
    <w:basedOn w:val="17"/>
    <w:link w:val="4"/>
    <w:qFormat/>
    <w:uiPriority w:val="9"/>
    <w:rPr>
      <w:smallCaps/>
      <w:spacing w:val="5"/>
      <w:sz w:val="24"/>
      <w:szCs w:val="24"/>
    </w:rPr>
  </w:style>
  <w:style w:type="character" w:customStyle="1" w:styleId="31">
    <w:name w:val="标题 4 字符"/>
    <w:basedOn w:val="17"/>
    <w:link w:val="5"/>
    <w:qFormat/>
    <w:uiPriority w:val="9"/>
    <w:rPr>
      <w:smallCaps/>
      <w:spacing w:val="10"/>
      <w:sz w:val="22"/>
      <w:szCs w:val="22"/>
    </w:rPr>
  </w:style>
  <w:style w:type="character" w:customStyle="1" w:styleId="32">
    <w:name w:val="标题 5 字符"/>
    <w:basedOn w:val="17"/>
    <w:link w:val="6"/>
    <w:qFormat/>
    <w:uiPriority w:val="9"/>
    <w:rPr>
      <w:smallCaps/>
      <w:color w:val="4381CF"/>
      <w:spacing w:val="10"/>
      <w:sz w:val="22"/>
      <w:szCs w:val="26"/>
    </w:rPr>
  </w:style>
  <w:style w:type="character" w:customStyle="1" w:styleId="33">
    <w:name w:val="标题 6 字符"/>
    <w:basedOn w:val="17"/>
    <w:link w:val="7"/>
    <w:qFormat/>
    <w:uiPriority w:val="9"/>
    <w:rPr>
      <w:smallCaps/>
      <w:color w:val="8DB3E2"/>
      <w:spacing w:val="5"/>
      <w:sz w:val="22"/>
    </w:rPr>
  </w:style>
  <w:style w:type="character" w:customStyle="1" w:styleId="34">
    <w:name w:val="标题 7 字符"/>
    <w:basedOn w:val="17"/>
    <w:link w:val="8"/>
    <w:qFormat/>
    <w:uiPriority w:val="9"/>
    <w:rPr>
      <w:b/>
      <w:smallCaps/>
      <w:color w:val="8DB3E2"/>
      <w:spacing w:val="10"/>
    </w:rPr>
  </w:style>
  <w:style w:type="character" w:customStyle="1" w:styleId="35">
    <w:name w:val="标题 8 字符"/>
    <w:basedOn w:val="17"/>
    <w:link w:val="9"/>
    <w:qFormat/>
    <w:uiPriority w:val="9"/>
    <w:rPr>
      <w:b/>
      <w:i/>
      <w:smallCaps/>
      <w:color w:val="4381CF"/>
    </w:rPr>
  </w:style>
  <w:style w:type="character" w:customStyle="1" w:styleId="36">
    <w:name w:val="标题 9 字符"/>
    <w:basedOn w:val="17"/>
    <w:link w:val="10"/>
    <w:qFormat/>
    <w:uiPriority w:val="9"/>
    <w:rPr>
      <w:b/>
      <w:i/>
      <w:smallCaps/>
      <w:color w:val="255692"/>
    </w:rPr>
  </w:style>
  <w:style w:type="character" w:customStyle="1" w:styleId="37">
    <w:name w:val="副标题 字符"/>
    <w:basedOn w:val="17"/>
    <w:link w:val="15"/>
    <w:qFormat/>
    <w:uiPriority w:val="11"/>
    <w:rPr>
      <w:rFonts w:ascii="Cambria" w:hAnsi="Cambria" w:eastAsia="宋体" w:cs="宋体"/>
      <w:szCs w:val="22"/>
    </w:rPr>
  </w:style>
  <w:style w:type="paragraph" w:customStyle="1" w:styleId="38">
    <w:name w:val="No Spacing"/>
    <w:basedOn w:val="1"/>
    <w:link w:val="48"/>
    <w:qFormat/>
    <w:uiPriority w:val="1"/>
    <w:pPr>
      <w:spacing w:after="0" w:line="240" w:lineRule="auto"/>
    </w:pPr>
  </w:style>
  <w:style w:type="paragraph" w:customStyle="1" w:styleId="39">
    <w:name w:val="Intense Quote"/>
    <w:basedOn w:val="1"/>
    <w:next w:val="1"/>
    <w:link w:val="40"/>
    <w:qFormat/>
    <w:uiPriority w:val="30"/>
    <w:pPr>
      <w:pBdr>
        <w:top w:val="single" w:color="4381CF" w:sz="8" w:space="10"/>
        <w:left w:val="single" w:color="4381CF" w:sz="8" w:space="10"/>
        <w:bottom w:val="single" w:color="4381CF" w:sz="8" w:space="10"/>
        <w:right w:val="single" w:color="4381CF" w:sz="8" w:space="10"/>
      </w:pBdr>
      <w:shd w:val="clear" w:color="auto" w:fill="8DB3E2"/>
      <w:spacing w:before="140" w:after="140"/>
      <w:ind w:left="1440" w:right="1440"/>
    </w:pPr>
    <w:rPr>
      <w:b/>
      <w:i/>
      <w:color w:val="112845"/>
    </w:rPr>
  </w:style>
  <w:style w:type="character" w:customStyle="1" w:styleId="40">
    <w:name w:val="明显引用 字符"/>
    <w:basedOn w:val="17"/>
    <w:link w:val="39"/>
    <w:qFormat/>
    <w:uiPriority w:val="30"/>
    <w:rPr>
      <w:b/>
      <w:i/>
      <w:color w:val="112845"/>
      <w:shd w:val="clear" w:color="auto" w:fill="8DB3E2"/>
    </w:rPr>
  </w:style>
  <w:style w:type="character" w:customStyle="1" w:styleId="41">
    <w:name w:val="不明显强调1"/>
    <w:qFormat/>
    <w:uiPriority w:val="19"/>
    <w:rPr>
      <w:rFonts w:ascii="Cambria" w:hAnsi="Cambria" w:eastAsia="宋体" w:cs="宋体"/>
      <w:i/>
      <w:iCs/>
      <w:color w:val="8DB3E2"/>
    </w:rPr>
  </w:style>
  <w:style w:type="character" w:customStyle="1" w:styleId="42">
    <w:name w:val="明显强调1"/>
    <w:qFormat/>
    <w:uiPriority w:val="21"/>
    <w:rPr>
      <w:rFonts w:ascii="Cambria" w:hAnsi="Cambria" w:eastAsia="宋体" w:cs="宋体"/>
      <w:b/>
      <w:bCs/>
      <w:i/>
      <w:iCs/>
      <w:color w:val="112845"/>
      <w:bdr w:val="single" w:color="8DB3E2" w:sz="18" w:space="0"/>
      <w:shd w:val="clear" w:color="auto" w:fill="8DB3E2"/>
      <w:vertAlign w:val="baseline"/>
    </w:rPr>
  </w:style>
  <w:style w:type="character" w:customStyle="1" w:styleId="43">
    <w:name w:val="不明显参考1"/>
    <w:qFormat/>
    <w:uiPriority w:val="31"/>
    <w:rPr>
      <w:i/>
      <w:iCs/>
      <w:smallCaps/>
      <w:color w:val="8DB3E2"/>
      <w:u w:color="8DB3E2"/>
    </w:rPr>
  </w:style>
  <w:style w:type="character" w:customStyle="1" w:styleId="44">
    <w:name w:val="明显参考1"/>
    <w:qFormat/>
    <w:uiPriority w:val="32"/>
    <w:rPr>
      <w:b/>
      <w:bCs/>
      <w:i/>
      <w:iCs/>
      <w:smallCaps/>
      <w:color w:val="8DB3E2"/>
      <w:u w:color="8DB3E2"/>
    </w:rPr>
  </w:style>
  <w:style w:type="character" w:customStyle="1" w:styleId="45">
    <w:name w:val="书籍标题1"/>
    <w:qFormat/>
    <w:uiPriority w:val="33"/>
    <w:rPr>
      <w:rFonts w:ascii="Cambria" w:hAnsi="Cambria" w:eastAsia="宋体" w:cs="宋体"/>
      <w:b/>
      <w:bCs/>
      <w:i/>
      <w:iCs/>
      <w:smallCaps/>
      <w:color w:val="4381CF"/>
      <w:u w:val="single"/>
    </w:rPr>
  </w:style>
  <w:style w:type="paragraph" w:customStyle="1" w:styleId="46">
    <w:name w:val="TOC 标题1"/>
    <w:basedOn w:val="2"/>
    <w:next w:val="1"/>
    <w:qFormat/>
    <w:uiPriority w:val="39"/>
    <w:pPr>
      <w:outlineLvl w:val="9"/>
    </w:pPr>
    <w:rPr>
      <w:lang w:bidi="en-US"/>
    </w:rPr>
  </w:style>
  <w:style w:type="paragraph" w:customStyle="1" w:styleId="47">
    <w:name w:val="Default"/>
    <w:qFormat/>
    <w:uiPriority w:val="0"/>
    <w:pPr>
      <w:widowControl w:val="0"/>
      <w:autoSpaceDE w:val="0"/>
      <w:autoSpaceDN w:val="0"/>
      <w:adjustRightInd w:val="0"/>
      <w:spacing w:after="200" w:line="276" w:lineRule="auto"/>
      <w:jc w:val="both"/>
    </w:pPr>
    <w:rPr>
      <w:rFonts w:ascii="楷体_GB2312" w:hAnsi="Times New Roman" w:eastAsia="楷体_GB2312" w:cs="楷体_GB2312"/>
      <w:color w:val="000000"/>
      <w:sz w:val="24"/>
      <w:szCs w:val="24"/>
      <w:lang w:val="en-US" w:eastAsia="zh-CN" w:bidi="ar-SA"/>
    </w:rPr>
  </w:style>
  <w:style w:type="character" w:customStyle="1" w:styleId="48">
    <w:name w:val="无间隔 字符"/>
    <w:basedOn w:val="17"/>
    <w:link w:val="38"/>
    <w:qFormat/>
    <w:uiPriority w:val="1"/>
  </w:style>
  <w:style w:type="character" w:customStyle="1" w:styleId="49">
    <w:name w:val="不明显强调2"/>
    <w:qFormat/>
    <w:uiPriority w:val="19"/>
    <w:rPr>
      <w:i/>
    </w:rPr>
  </w:style>
  <w:style w:type="character" w:customStyle="1" w:styleId="50">
    <w:name w:val="明显强调2"/>
    <w:qFormat/>
    <w:uiPriority w:val="21"/>
    <w:rPr>
      <w:b/>
      <w:i/>
      <w:color w:val="8DB3E2"/>
      <w:spacing w:val="10"/>
    </w:rPr>
  </w:style>
  <w:style w:type="character" w:customStyle="1" w:styleId="51">
    <w:name w:val="不明显参考2"/>
    <w:qFormat/>
    <w:uiPriority w:val="31"/>
    <w:rPr>
      <w:b/>
    </w:rPr>
  </w:style>
  <w:style w:type="character" w:customStyle="1" w:styleId="52">
    <w:name w:val="明显参考2"/>
    <w:qFormat/>
    <w:uiPriority w:val="32"/>
    <w:rPr>
      <w:b/>
      <w:bCs/>
      <w:smallCaps/>
      <w:spacing w:val="5"/>
      <w:sz w:val="22"/>
      <w:szCs w:val="22"/>
      <w:u w:val="single"/>
    </w:rPr>
  </w:style>
  <w:style w:type="character" w:customStyle="1" w:styleId="53">
    <w:name w:val="书籍标题2"/>
    <w:qFormat/>
    <w:uiPriority w:val="33"/>
    <w:rPr>
      <w:rFonts w:ascii="Cambria" w:hAnsi="Cambria" w:eastAsia="宋体" w:cs="宋体"/>
      <w:i/>
      <w:iCs/>
      <w:sz w:val="20"/>
      <w:szCs w:val="20"/>
    </w:rPr>
  </w:style>
  <w:style w:type="paragraph" w:customStyle="1" w:styleId="54">
    <w:name w:val="TOC 标题2"/>
    <w:basedOn w:val="2"/>
    <w:next w:val="1"/>
    <w:qFormat/>
    <w:uiPriority w:val="39"/>
    <w:pPr>
      <w:outlineLvl w:val="9"/>
    </w:pPr>
    <w:rPr>
      <w:lang w:bidi="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19</Pages>
  <Words>8315</Words>
  <Characters>9080</Characters>
  <Lines>71</Lines>
  <Paragraphs>19</Paragraphs>
  <ScaleCrop>false</ScaleCrop>
  <LinksUpToDate>false</LinksUpToDate>
  <CharactersWithSpaces>9133</CharactersWithSpaces>
  <Application>WPS Office_3.8.1.6116_F1E327BC-269C-435d-A152-05C5408002CA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2022-05-10T09:31:00Z</dcterms:created>
  <dc:creator>Administrator</dc:creator>
  <cp:lastModifiedBy>apple</cp:lastModifiedBy>
  <cp:lastPrinted>2022-05-10T09:36:00Z</cp:lastPrinted>
  <dcterms:modified xsi:type="dcterms:W3CDTF">2022-05-31T08:02:33Z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2052-3.8.1.6116</vt:lpwstr>
  </property>
  <property fmtid="{D5CDD505-2E9C-101B-9397-08002B2CF9AE}" pid="3" name="ICV">
    <vt:lpwstr>6AE49900DFE14699A5EB523DCE831BAB</vt:lpwstr>
  </property>
</Properties>
</file>