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bookmarkStart w:id="0" w:name="_GoBack"/>
      <w:bookmarkEnd w:id="0"/>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2022/5/26</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firstLineChars="200"/>
        <w:jc w:val="both"/>
        <w:rPr>
          <w:rFonts w:hint="default" w:ascii="仿宋" w:hAnsi="仿宋" w:eastAsia="仿宋" w:cs="仿宋"/>
          <w:sz w:val="24"/>
          <w:szCs w:val="28"/>
        </w:rPr>
      </w:pPr>
      <w:r>
        <w:rPr>
          <w:rFonts w:hint="default" w:ascii="仿宋" w:hAnsi="仿宋" w:eastAsia="仿宋" w:cs="仿宋"/>
          <w:sz w:val="24"/>
          <w:szCs w:val="28"/>
        </w:rPr>
        <w:t>昨日夜盘收盘，国内期货主力合约涨跌不一。沪锡跌超2%，焦煤、焦炭、纸浆、沥青跌超1%。涨幅方面，低硫燃料油（LU）、液化石油气（LPG）、塑料、动力煤涨超1%。</w:t>
      </w:r>
    </w:p>
    <w:p>
      <w:pPr>
        <w:spacing w:after="120" w:line="288" w:lineRule="auto"/>
        <w:jc w:val="both"/>
        <w:rPr>
          <w:rFonts w:hint="default" w:ascii="仿宋" w:hAnsi="仿宋" w:eastAsia="仿宋" w:cs="仿宋"/>
          <w:sz w:val="24"/>
          <w:szCs w:val="28"/>
        </w:rPr>
      </w:pPr>
      <w:r>
        <w:rPr>
          <w:rFonts w:hint="default" w:ascii="仿宋" w:hAnsi="仿宋" w:eastAsia="仿宋" w:cs="仿宋"/>
          <w:sz w:val="24"/>
          <w:szCs w:val="28"/>
        </w:rPr>
        <w:t xml:space="preserve">    国际期货主力合约大面积飘绿。CBOT农产品方面，CBOT小麦跌0.41%，CBOT玉米涨0.10%，CBOT大豆跌0.74%，CBOT豆油跌1.71%，CBOT豆粕跌0.68%。LME金属方面，伦铜跌1.14%，伦锌跌0.29%，伦铅跌3.70%，伦镍涨1.81%，伦铝跌0.31%。</w:t>
      </w:r>
    </w:p>
    <w:p>
      <w:pPr>
        <w:spacing w:after="120" w:line="288" w:lineRule="auto"/>
        <w:jc w:val="both"/>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美联储会议纪要：大幅加息将为今年晚些时候提供政策灵活性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北京时间周四凌晨2点，美联储FOMC公布5月货币政策会议纪要。大多数美联储官员支持在接下来的几次会议上加息50个基点，他们认为大幅加息将为今年晚些时候提供政策灵活性，所有官员都支持要开始缩表计划。（详细内容）</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泽连斯基：俄军回到2月24日前位置才能谈判 俄方：不具建设性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当地时间5月24日，乌克兰总统泽连斯基在接受日本广播协会（NHK）的采访时表示，俄军回到2月24日之前的位置，双方才能恢复谈判。当地时间5月25日，俄罗斯外交部回应称，泽连斯基的声明不具有“建设性”。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李克强：扎实推动稳经济各项政策落地见效，确保经济运行在合理区间</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李克强在全国稳住经济大盘电视电话会议上强调，把稳增长放在更突出位置，着力保市场主体保就业保民生，保护经济韧性，努力确保二季度经济合理增长和失业率尽快下降，保持经济运行在合理区间。 </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国务院办公厅：进一步盘活存量资产扩大有效投资</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重点盘活存量规模较大、当前收益较好或增长潜力较大的基础设施项目资产，包括交通、水利、清洁能源、保障性租赁住房、水电气热等市政设施、生态环保、产业园区、仓储物流、旅游、新型基础设施等。</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中期协：4月期货公司净利润环比大降60.22%</w:t>
      </w:r>
    </w:p>
    <w:p>
      <w:pPr>
        <w:numPr>
          <w:ilvl w:val="0"/>
          <w:numId w:val="0"/>
        </w:numPr>
        <w:spacing w:after="120" w:line="288" w:lineRule="auto"/>
        <w:ind w:left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截至2022年4月末，全国共有150家期货公司，分布在31个辖区。2022年4月交易额40.77万亿元，交易量4.69亿手，营业收入26.55亿元，净利润4.89亿元。</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国资委：高质量提供煤电油气运等基础服务，做好大宗原材料保供稳价工作</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资委发布关于中央企业助力中小企业纾困解难促进协同发展有关事项的通知。通知提到，高质量提供煤电油气运等基础服务，做好大宗原材料保供稳价工作，严禁串通涨价、哄抬价格等违法违规行为，带头维护市场价格秩序。发挥物流企业的基础性保障功能，统筹运力，优化航线，加快打造畅通、安全、高效的物流运输通道，促进物流循环畅通。</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5月25日钢谷网中西部&amp;全国钢材库存调研统计</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①全国建材：社库1088.81万吨，较上周减少7.49万吨，下降0.68%；厂库588.84万吨，较上周增加19.35万吨，上升3.40%；产量475.11万吨，较上周减少1.91吨，下降0.40%。</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②中西部建材：社库 384.58万吨，较上周减少6.41万吨，下降1.64%；厂库 251.53万吨，较上周增加13.04万吨，上升5.47%；产量 173.81万吨，较上周增加5.51万吨，上升3.27%。</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螺纹表需持续回升，库存消化稳步进行</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截至5月25日当周，找钢网库存分析：①建材产量395.10万吨，周环比增1.10万吨，升0.28%；年同比减51.63万吨，降11.56%。②建材厂库478.33万吨，周环比增9.45万吨，升2.02%；年同比增137.10万吨，升40.18%。③建材社库662.81万吨，周环比减20.85万吨，降3.05%；年同比增102.34万吨，升18.26%。</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财政部：提高农业保险风险保障水平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强化预算保障，确保年内实现粮食主产省份产粮大县稻谷、玉米、小麦完全成本保险和种植收入保险全覆盖，稳定种粮农户收益，服务保障主粮安全。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机构：马棕油5月1-25日出口量环比增加22.54%—24.83%</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①据马来西亚独立检验机构AmSpec数据显示，马来西亚5月1—25日棕榈油出口量为1105307吨，4月1—25日出口的901978吨增加22.54%。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②船运调查机构ITS数据显示，马来西亚5月1—25日棕榈油出口量为1141764吨，较4月1—25日出口的914661吨增加24.83%。</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COPA月报：加拿大2022年04月大豆压榨量环比上升，油菜籽压榨量环比下降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加拿大油籽加工商协会（COPA）发布的油籽压榨数据显示，2022年04月，</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①加拿大油菜籽压榨量为706762吨，环比降4.48%；菜籽油产量为293812吨，环比降4.75%；菜籽粕产量为421551吨，环比降4.81%。</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②加拿大大豆压榨量为172251吨，环比升2.94%；豆油产量为31858吨，环比升1.37%；豆粕产量为134104吨，环比升2.18%。</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Unica：2022年5月上半月巴西中南部糖产量下跌30.10%</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巴西蔗糖行业协会（Unica）周三称，5月上半月巴西中南部地区的糖产量达到166.8万吨，上年同期为238.7万吨。乙醇产量为16.55亿升，上年同期为18.4亿升。甘蔗含糖量为124.95公斤/吨，上年同期为131.45公斤/吨。40.77%的蔗汁用于制糖，上年同期为45.99%。</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印度商务部长：印度目前没有取消小麦出口禁令的计划</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印度商务部长表示，印度目前没有取消小麦出口禁令的计划，但将继续与其他政府直接交易。印度是全球第二大小麦生产国，该国在5月14日宣布禁止私人向海外销售小麦，因酷热天气削减产量且国内价格触及纪录高位。在这一决定宣布之后，全球小麦价格大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今晚20:30 USDA出口销售报告数据前瞻</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据外媒调查的交易商预期值，截至2022年5月19日当周，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①预计美国2021/22市场年度大豆出口净销售料介于20—80万吨；美国2022/23市场年度大豆出口净销售料介于10—60万吨；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②预计美国2021/22市场年度豆粕出口净销售料介于10—40万吨，2022/23市场年度豆粕出口净销售料介于0—2.5万吨；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③预计美国2021/22市场年度豆油出口净销售料介于0—2万吨，2022/23市场年度豆油出口净销售料为0—1万吨；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④预计美国2021/22市场年度小麦出口净销售料介于-5—10万吨；美国2022/23市场年度小麦出口净销售料介于10—40万吨；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⑤预计美国2021/22市场年度玉米出口净销售料介于15—50万吨；美国2022/23市场年度玉米出口净销售料介于20—80万吨。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EIA：美国上周EIA原油库存超预期减少101.9万桶</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美国至5月20日当周EIA原油库存超预期减少101.9万桶；战略石油储备（SPR）库存减少597.1万桶至5.32亿桶，降幅1.11%；原油出口增加82.1万桶/日至434.1万桶/日。</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供应担忧加剧 美国天然气价格2008年以来首次突破9美元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随着人们对供应短缺的担忧加剧，美国市场天然气价格延续了惊人的涨势，自2008年以来首次突破9美元/百万英热。由于出口飙升至创纪录水平，但页岩盆地的产量仍然低迷，美国天然气库存低于同期正常水平。美国西海岸地区的旱情预计将抑制水力发电，而东部地区预计比往年更热的天气却将增加对空调和天然气的需求。俄乌冲突加剧了能源供应不足的状况，推动全球天然气价格飙升，也促使欧洲和亚洲的买家争夺美国的液化天然气供应。</w:t>
      </w: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险资投资首批银行理财产品落地。光大永明资产受托光大永明人寿非投连账户通过直销方式，投资由光大理财发行的“阳光金天天盈理财产品”产品。多家资管公司透露，正在着手准备配置符合保险资金特性的银行理财产品，将在负债、资产、产品结构设计等方面进一步加深与理财公司的全面合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震荡行情下，今年以来清盘基金数量已达68只。同时5月以来，易方达中证全指建筑材料ETF、申万菱信安泰瑞利中短债、天弘中证沪港深物联网主题ETF、易方达中证沪港深500ETF、国泰惠盈纯债、融通中债1-3年国开行债券指数等多只基金发出规模“预警”——资产净值连续多日低于5000万元，已到清盘边缘。分析人士指出，面临清盘的基金，大多是投资业绩不佳的产品，在投资者赎回后规模下降成为迷你基金。特别是中小基金公司在震荡行情下勉强成立的产品，可能在很短时间内触及清盘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随着A股市场反弹，近期量化私募尤其是指数增强产品业绩显著转暖；不过，受多重因素影响，二季度以来，量化私募产品的发行仍持续偏冷，今年量化指数增强类产品的发行量同比降近六成；在当前市场低位回暖但仍有所反复的背景下，部分头部量化私募管理人进一步强调，期待能在市场“低谷”与投资者相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4、许昌农商行实控人许昌市投资集团发布澄清公告称，许昌农商行河南、安徽不能提现的五家村镇银行的股东，上述五家银行均为独立法人机构且独立运营，许昌农商行不实际控制其经营管理。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据证券时报，今年以来，市场震荡加剧，基金发行难度增加，发起式基金由于募集门槛较低、发行难度较小，成为近期发行热点，年内成立数量远超历史同期。截至5月25日，今年以来共有111只发起式基金（不同份额合并计算）成立，较去年同期的76只，增长46%，在今年全部新发基金中占比近20%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证券时报，近期，随着债市回暖，一波银行理财净值飙涨，近一个月年化收益率创出半年来最好表现。有的股份行理财子公司产品近一个月年化在一日之内跳涨约60个基点（BP），有大行理财子公司部分产品近一个月年化已经突破了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每日经济新闻，近年来，监管部门提高了对私募基金的登记备案要求。中国证券投资基金业协会数据显示，3月，151家提交私募基金管理人登记的机构通过了120家，同时协会注销私募基金管理人192家。在这样的背景下，直接备案不如买一家私募壳公司成为一些机构的共识。</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针对个别城市二手房市场挂牌量激增、业主抛售等情况，贝壳研究院监测数据显示，短期二手房供应量确实在恢复性增长，但仍低于2020-2021年同期均值。供应增加的同时购房需求也在增长，5月以来限购、限售、限贷等政策放松的重点城市增多，二手房成交有所复苏，5月以来贝壳50城二手房日均成交量较4月日均水平增长约10%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2、中央国家机关住房资金管理中心：支持企业缓缴住房公积金，缓缴期间视同正常缴存，职工提取公积金和申请公积金贷款不受影响；租房公积金提取限额由每人每月1500元提高至2000元；个人贷款不作逾期处理。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唐山市取消路南区、路北区、高新区范围内的商品住房限购、限售政策。为支持刚性和改善性购房需求，对购房商业贷款政策进行了调整，将全市首套房贷利率降至4.25%，二套房贷利率降至5.05%，减轻居民购房还贷压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厦门首套住房商业贷款利率下限调整为不低于相应期限LPR加10个基点。如按照5月20日公布的5年期以上LPR计算，由上月的4.9%下降到目前4.55%。允许房地产开发企业采用商业银行保函替代一半的应留存预售监管资金，支持企业盘活资金。</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5、广东中山：5月24日起，新建商品住房实际销售价格，可在备案价上下浮动15%的幅度区间进行商品房买卖合同网签备案。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福建明溪县兑现房地产优惠政策，对2015年5月1日起至2017年4月30日期间，在明溪县城市规划区内，首次购买新房的购房人，给予购买契税100%的奖励，商品住房按150元/平方米标准给予补助，最高补助金额不超过2万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1、全国多地的医保部门陆续收到国家医保局抄送的一份函件，明确提出用医保基金支付大规模人群核酸检测费用不符合现行医保政策规定，要求相关地区立即整改。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2、国家医保局办公室、国务院联防联控机制医疗救治组日前印发通知，要求各地在6月10日前将新冠病毒核酸检测单人单检降至不高于每人份16元，多人混检降至不高于每人份5元。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中国物流与采购联合会公布，1-4月，全国社会物流总额106.2万亿元，同比增长3.6%。4月份，能源、大宗商品保供领域增长保持稳定，大宗物资、长距离运输“公转铁、公转水”情况明显增多，多式联运相关业务占比稳步提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交通运输部发布《2021年交通运输行业发展统计公报》显示，2021年我国完成交通固定资产投资3.6万亿元，比2020年增长4.1%。高铁营业里程达到4万公里，高速公路里程16.9万公里，全国港口万吨级及以上泊位2659个。定期航班通航机场、通航城市分别提高至248个和244个。</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5、中国轻工业联合会数据显示，今年1-4月，轻工主要行业投资稳中提速，投资规模继续扩大，增速均保持两位数增长，其中，农副食品加工、食品制造、酒饮料等6个行业投资增速超过20%。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6、中国信通院报告显示，4月国内市场手机出货量1807.9万部，同比降34.2%，其中5G手机1458.5万部，同比降31.9%，占同期手机出货量的80.7%。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7、金砖国家航天合作联委会第一次会议以视频方式顺利举行，标志着金砖国家航天合作联委会正式成立，正式开启星座数据共享与交换工作。</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1、美联储会议纪要显示，多数与会者认为，在接下来的两次会议上，每次升息50个基点可能是合适的。 与会者一致认为，委员会应通过提高联邦基金利率目标范围和缩小美联储资产负债表规模，迅速将货币政策立场转向中性。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欧洲央行管委雷恩表示，通胀上行风险明显上升，欧洲央行应在7月份加息25个基点；欧洲央行下个月将下调经济预期。欧洲央行管委诺特表示，加息只会在7月份进行，而不是在6月，7月加息50个基点并非不可能；预计今年不会讨论缩表问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3、英国央行首席经济学家、货币政策委员会成员皮尔表示，该行需要进一步收紧货币政策，以应对日益严重的通货通胀，但同时也担心过快的行动会为英国经济带来衰退风险。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4、日本政府向国会提交2022财年补充预算案，总额为27009亿日元，其中一部分将用于应对物价高涨问题。</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5、新西兰联储宣布加息50个基点至2%，为2021年10月以来连续第五次加息，也是连续第二次加息50个基点。新西兰联储表示，力求将通胀水平控制在1%至3%的目标区间。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6、新加坡一季度GDP同比增长3.7%，环比增长0.7%。新加坡贸工部维持2022年该国GDP同比增幅预期在3%-5%不变，但指出增长可能处于预测范围的下限附近。</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津巴布韦统计局表示，截至5月，津巴布韦年通胀率升至131.7%。当前，津巴布韦国内食用油和面包价格飙升，通货膨胀率自去年6月以来首次达到三位数。津巴布韦政府试图通过暂停对食用油、大米、面粉等基本商品征收进口税的方式调节价格。据了解，4月，津巴布韦的年通胀率就已经达到96.4%。</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多数上涨，36氪涨42.66%，青客涨39.5%，摩贝涨18.27%，滴滴出行涨18.24%，挚文集团涨17.95%，泰和诚医疗涨10.21%，汽车之家涨9.48%；跌幅方面，华夏博雅跌38.8%，蘑菇街跌9.91%，燃石医学跌8.65%，迅雷跌6.56%；中概新能源汽车股普遍上涨，蔚来汽车涨0.07%，小鹏汽车涨1.03%，理想汽车涨2.94%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2、苹果公司汽车项目主管Moore跳槽，将出任自动驾驶汽车传感器和软件公司Luminar的副总裁。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3、知情人士称，苹果新款iPhone开发计划受疫情影响而推迟进度，目前苹果公司已告知其供应商加快新款iPhone开发。</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4、搜狐全体员工遭遇工资补助诈骗一事引发关注。对此，搜狐发布回应称，共有24名员工被骗取4万余元人民币。目前正在等待警方的调查进展和处理结果。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5、知情人士透露，甲骨文对美国医疗IT公司Cerner总额283亿美元的收购交易，即将获得欧盟反垄断部门的无条件批准。欧盟委员会计划于6月1日就该交易做出决定。</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6、知情人士透露，日本政府支持的投资基金日本投资公司（JIC）正在考虑竞购东芝公司。JIC已与这家日本企业集团签署一项保密协议，以便在考虑收购要约时获得详细的财务情况。</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微软宣布，日本川崎重工成为该公司工业元宇宙的新客户。川崎计划使用微软的HoloLens头戴设备帮助制造机器人，该公司的车间工人将戴着这种设备辅助生产、维修和供应链管理。在川崎之前，微软的工业元宇宙已有两个重量级客户亨氏和波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8、知乎一季度总收入7.432亿元，同比增长55.4%；调整后净亏损3.674亿元，亏损额同比增长89.8%；平均月活跃用户达到1.016亿，同比增长19.4%，环比下滑1.6%；月均付费用户达到690万，同比增长72.8%。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英伟达2023财年第一财季每股收益0.64美元，预期0.67美元；营收82.9亿美元，预期81.17亿美元；净利润16.18亿美元，预期17.7亿美元；英伟达预计第二财季营收81.0亿美元，市场预估84.4亿美元；英伟达美股盘后跌超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10、马斯克将收购推特的股权承诺总额提高到335亿美元。推特美股盘后一度涨超10%。</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1、国内商品期货夜盘收盘涨跌不一，能源化工品表现分化，LPG、塑料、聚丙烯涨超1%，纸浆、沥青、PVC跌超1%。黑色系多数下跌，焦煤跌1.77%，焦炭跌1.61%，动力煤涨1.51%。农产品涨跌互现。</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2、国家发改委表示，将持续密切关注煤炭市场和价格情况，发现煤炭价格超出合理区间且经提醒约谈拒不改正的，将作为涉嫌哄抬价格线索移交有关部门依法查处。</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3、贵州强调要用好国家调整煤矿核增产能政策机遇，下大力提高煤矿规模化水平，坚决淘汰煤矿落后产能，推动大中型煤矿建设，优化煤炭产能布局，强化要素保障，提高煤炭保供能力。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据证券时报，中国期货业协会披露了4月期货公司经营情况。其中，2022年4月全国期货公司净利润为4.89亿元，同比下降49.79%，环比下滑60.22%，令市场颇感意外。业内人士分析，受行情和宏观因素影响，近期期货市场交易量和持仓量有所下降，且资本市场疲软、期货公司投资收益降低，导致行业盈利水平突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5、美国至5月20日当周EIA原油库存减少101.9万桶，预期减少73.7万桶，前值减少339.4万桶。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6、波罗的海干散货指数跌3.87%，报3127点。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银行间主要利率债收益率多数小幅下行，短券表现偏弱，收益率上行1-2bp；国债期货10年和5年期小幅收涨，2年期小幅收跌；银行间资金供给稍有收敛，主要回购利率普遍上行，可以跨月的七天期回购利率自低位反弹逾15bp至1.69%附近；地产债走势涨跌不一，“20碧地04”涨超11%，“20融创02”跌超10%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涨0.47%，成交额1120.2亿元；蓝盾转债涨超9%，高澜转债涨超8%，同和转债涨超7%，风语转债和广汇转债均涨超6%，丝路转债涨逾5%，华通转债涨近4%，靖远转债涨近3%；英联转债跌超12%，远东转债跌3%，“永东转2”跌近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3、民营房企融资正在持续回暖。2022年以来，美的置业、龙湖、旭辉、碧桂园、滨江、金地等已完成约300亿元债务融资工具注册。据Wind统计，1-4月，民营房企成功发行债务融资工具近百亿元。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俄罗斯财政部称，虽然俄罗斯方面受到诸多限制，但是俄罗斯政府仍将继续使用卢布偿还国际债务。美国财政部此前表示，将不会延长定于25日到期的一项关键豁免权。该豁免权允许俄罗斯向美国债券持有人支付债务，避免其政府债务违约。</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债券重大事件】“20融创02”付息日5月27日；“15青国投MTN002”6月5日偿还2亿元本金及利息；联合国际下调中南建设国际长期发行人评级至“CCC+”，移出评级负面观察名单；穆迪下调中南建设企业家族评级至“Caa2”，展望维持“负面”；穆迪出于商业原因，撤销浦江国际“B2”企业家族评级；许昌市投资集团澄清：与河南新财富集团不存在股权投资、资金往来或业务合作关系、许昌农商行不实际控制五家村镇银行经营管理；中国华融计划发行不超过200亿元永续债；“22葛洲Y1”取消发行；美的置业集团：“22美置01”发行规模10亿元，票面利率为4.50%；交易商协会：将万达商管中期票据26亿元注册金额予以核减、将华润置地中期票据2亿元注册金额予以核减等。</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numPr>
          <w:ilvl w:val="0"/>
          <w:numId w:val="4"/>
        </w:numPr>
        <w:suppressLineNumbers w:val="0"/>
        <w:jc w:val="left"/>
      </w:pPr>
      <w:r>
        <w:rPr>
          <w:rFonts w:hint="eastAsia" w:ascii="仿宋" w:hAnsi="仿宋" w:eastAsia="仿宋" w:cs="仿宋"/>
          <w:sz w:val="24"/>
          <w:szCs w:val="28"/>
        </w:rPr>
        <w:t>周三人民币兑美元中间价报6.6550，调升16个基点。在岸人民币兑美元16:30收盘报6.6737，较上一交易日跌66个基点；夜盘收报6.6940，较上一交易日夜盘收跌400个基点。交易员指出，人民币走势仍受疫情扰动，短期或围绕6.65一线宽幅震荡，市场关注美联储纪要内容。</w:t>
      </w:r>
    </w:p>
    <w:p>
      <w:pPr>
        <w:keepNext w:val="0"/>
        <w:keepLines w:val="0"/>
        <w:widowControl/>
        <w:numPr>
          <w:ilvl w:val="0"/>
          <w:numId w:val="0"/>
        </w:numPr>
        <w:suppressLineNumbers w:val="0"/>
        <w:jc w:val="left"/>
      </w:pPr>
      <w:r>
        <w:rPr>
          <w:rFonts w:hint="eastAsia" w:ascii="仿宋" w:hAnsi="仿宋" w:eastAsia="仿宋" w:cs="仿宋"/>
          <w:sz w:val="24"/>
          <w:szCs w:val="28"/>
        </w:rPr>
        <w:t>2、据莫斯科交易所数据，截至当地时间5月25日，美元对卢布汇率跌破56，为自2018年2月以来的最低点。欧元对卢布汇率自2015年6月以来首次跌58。</w:t>
      </w:r>
    </w:p>
    <w:p>
      <w:pPr>
        <w:keepNext w:val="0"/>
        <w:keepLines w:val="0"/>
        <w:widowControl/>
        <w:suppressLineNumbers w:val="0"/>
        <w:jc w:val="left"/>
      </w:pPr>
      <w:r>
        <w:rPr>
          <w:rFonts w:ascii="Microsoft YaHei" w:hAnsi="Microsoft YaHei" w:eastAsia="Microsoft YaHei" w:cs="Microsoft YaHei"/>
          <w:b w:val="0"/>
          <w:i w:val="0"/>
          <w:caps w:val="0"/>
          <w:color w:val="333333"/>
          <w:spacing w:val="0"/>
          <w:kern w:val="0"/>
          <w:sz w:val="32"/>
          <w:szCs w:val="32"/>
          <w:u w:val="none"/>
          <w:lang w:val="en-US" w:eastAsia="zh-CN" w:bidi="ar"/>
        </w:rPr>
        <w:drawing>
          <wp:inline distT="0" distB="0" distL="114300" distR="114300">
            <wp:extent cx="5267325" cy="7848600"/>
            <wp:effectExtent l="0" t="0" r="1587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67325" cy="7848600"/>
                    </a:xfrm>
                    <a:prstGeom prst="rect">
                      <a:avLst/>
                    </a:prstGeom>
                    <a:noFill/>
                    <a:ln w="9525">
                      <a:noFill/>
                    </a:ln>
                  </pic:spPr>
                </pic:pic>
              </a:graphicData>
            </a:graphic>
          </wp:inline>
        </w:drawing>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8EC5BC"/>
    <w:multiLevelType w:val="singleLevel"/>
    <w:tmpl w:val="628EC5BC"/>
    <w:lvl w:ilvl="0" w:tentative="0">
      <w:start w:val="1"/>
      <w:numFmt w:val="bullet"/>
      <w:lvlText w:val=""/>
      <w:lvlJc w:val="left"/>
      <w:pPr>
        <w:ind w:left="420" w:leftChars="0" w:hanging="420" w:firstLineChars="0"/>
      </w:pPr>
      <w:rPr>
        <w:rFonts w:hint="default" w:ascii="Wingdings" w:hAnsi="Wingdings"/>
      </w:rPr>
    </w:lvl>
  </w:abstractNum>
  <w:abstractNum w:abstractNumId="2">
    <w:nsid w:val="628EC709"/>
    <w:multiLevelType w:val="singleLevel"/>
    <w:tmpl w:val="628EC709"/>
    <w:lvl w:ilvl="0" w:tentative="0">
      <w:start w:val="1"/>
      <w:numFmt w:val="bullet"/>
      <w:lvlText w:val=""/>
      <w:lvlJc w:val="left"/>
      <w:pPr>
        <w:ind w:left="420" w:leftChars="0" w:hanging="420" w:firstLineChars="0"/>
      </w:pPr>
      <w:rPr>
        <w:rFonts w:hint="default" w:ascii="Wingdings" w:hAnsi="Wingdings"/>
      </w:rPr>
    </w:lvl>
  </w:abstractNum>
  <w:abstractNum w:abstractNumId="3">
    <w:nsid w:val="628EC743"/>
    <w:multiLevelType w:val="singleLevel"/>
    <w:tmpl w:val="628EC74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D77E59"/>
    <w:rsid w:val="5DEFECEF"/>
    <w:rsid w:val="657D161F"/>
    <w:rsid w:val="67E4651E"/>
    <w:rsid w:val="6F3F6644"/>
    <w:rsid w:val="6FF3D9E0"/>
    <w:rsid w:val="76DF05C7"/>
    <w:rsid w:val="7AEBE989"/>
    <w:rsid w:val="7FD59CB2"/>
    <w:rsid w:val="7FEF5DAA"/>
    <w:rsid w:val="937C7D1B"/>
    <w:rsid w:val="B7EB2313"/>
    <w:rsid w:val="DDFFD333"/>
    <w:rsid w:val="EF3E958F"/>
    <w:rsid w:val="F99FC0A2"/>
    <w:rsid w:val="F9CF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7530</Words>
  <Characters>8620</Characters>
  <Lines>71</Lines>
  <Paragraphs>19</Paragraphs>
  <ScaleCrop>false</ScaleCrop>
  <LinksUpToDate>false</LinksUpToDate>
  <CharactersWithSpaces>8677</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2022-05-09T09:31:00Z</dcterms:created>
  <dc:creator>Administrator</dc:creator>
  <cp:lastModifiedBy>apple</cp:lastModifiedBy>
  <cp:lastPrinted>2022-05-09T09:36:00Z</cp:lastPrinted>
  <dcterms:modified xsi:type="dcterms:W3CDTF">2022-05-26T08:10:59Z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