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2022/5/25</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600" w:firstLineChars="250"/>
        <w:jc w:val="both"/>
        <w:rPr>
          <w:rFonts w:hint="eastAsia" w:ascii="仿宋" w:hAnsi="仿宋" w:eastAsia="仿宋" w:cs="仿宋"/>
          <w:sz w:val="24"/>
          <w:szCs w:val="28"/>
        </w:rPr>
      </w:pPr>
      <w:r>
        <w:rPr>
          <w:rFonts w:hint="default" w:ascii="仿宋" w:hAnsi="仿宋" w:eastAsia="仿宋" w:cs="仿宋"/>
          <w:sz w:val="24"/>
          <w:szCs w:val="28"/>
        </w:rPr>
        <w:t xml:space="preserve"> </w:t>
      </w:r>
      <w:r>
        <w:rPr>
          <w:rFonts w:hint="eastAsia" w:ascii="仿宋" w:hAnsi="仿宋" w:eastAsia="仿宋" w:cs="仿宋"/>
          <w:sz w:val="24"/>
          <w:szCs w:val="28"/>
        </w:rPr>
        <w:t>昨日夜盘收盘，国内期货主力合约多数下跌。沪锡、沪镍跌超2%，焦炭、甲醇、棉花、玉米跌超1%。涨幅方面，沥青涨超3%，燃料油涨超2%，低硫燃料油（LU）涨超1%。</w:t>
      </w:r>
    </w:p>
    <w:p>
      <w:pPr>
        <w:spacing w:after="120" w:line="288" w:lineRule="auto"/>
        <w:ind w:firstLine="600" w:firstLineChars="250"/>
        <w:jc w:val="both"/>
        <w:rPr>
          <w:rFonts w:hint="eastAsia" w:ascii="仿宋" w:hAnsi="仿宋" w:eastAsia="仿宋" w:cs="仿宋"/>
          <w:sz w:val="24"/>
          <w:szCs w:val="28"/>
        </w:rPr>
      </w:pPr>
      <w:r>
        <w:rPr>
          <w:rFonts w:hint="eastAsia" w:ascii="仿宋" w:hAnsi="仿宋" w:eastAsia="仿宋" w:cs="仿宋"/>
          <w:sz w:val="24"/>
          <w:szCs w:val="28"/>
        </w:rPr>
        <w:t>国际期货主力合约大面积飘绿。CBOT农产品方面，CBOT小麦跌3.25%，CBOT玉米跌2.04%，CBOT大豆涨0.28%，CBOT豆油跌0.47%，CBOT豆粕涨0.85%。LME金属方面，伦铜跌0.49%，伦锌跌0.17%，伦铅跌0.96%，伦镍跌4.66%，伦铝跌2.64%。</w:t>
      </w:r>
    </w:p>
    <w:p>
      <w:pPr>
        <w:spacing w:after="120" w:line="288" w:lineRule="auto"/>
        <w:jc w:val="both"/>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人民银行、银保监会：研究部署加大信贷投放力度</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人民银行、银保监会召开主要金融机构货币信贷形势分析会，研究部署加大信贷投放力度。会议强调，金融系统要用好用足各种政策工具，从扩增量、稳存量两方面发力，以适度的信贷增长支持经济高质量发展。要落实政策要求，保持房地产信贷平稳增长。要加快已授信贷款的放款进度。要坚持市场化原则，提升金融支持实体经济的可持续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住建部、财政部、央行：实施住房公积金阶段性支持政策</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住房和城乡建设部、财政部、人民银行发布关于实施住房公积金阶段性支持政策的通知。受新冠肺炎疫情影响的企业，可按规定申请缓缴住房公积金，到期后进行补缴。各地根据当地房租水平和合理租住面积，可提高住房公积金租房提取额度，支持缴存人按需提取，更好地满足缴存人支付房租的实际需要。上述支持政策实施时限暂定至2022年12月31日。</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国家发展改革委部署开展煤炭生产成本调查工作</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近期，国家发展改革委价格司、价格成本调查中心组织山西、陕西、内蒙古三省区发展改革委，相关煤炭生产企业，行业协会召开视频会，对开展2021年度煤炭生产成本调查工作进行部署。会议要求，相关地方和企业要高度重视煤炭生产成本调查工作，严格按照《煤炭生产成本调查方案》要求，加强组织领导，压实工作责任，强化沟通协调，真实、准确报送企业煤炭生产成本、销售情况。 </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中钢协：2022年5月中旬钢材社会库存和钢铁企业产存情况</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①5月中旬，21个城市5大品种钢材社会库存1208万吨，环比减少37万吨，下降3.0%，库存继续小幅下降；比年初增加420万吨，上升53.3%；比上年同期增加2万吨，上升0.2%。</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②5月中旬，重点统计钢铁企业共生产粗钢2299.1万吨、生铁2030.83万吨、钢材2219.43万吨。其中，粗钢日产229.91万吨，环比下降0.27%；生铁日产203.08万吨，环比下降0.04%；钢材日产221.94万吨，环比增长2.66%。</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世界钢铁协会：2022年4月全球粗钢产量同比下降5.1%至1.627亿吨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据世界钢铁协会，中国4月的粗钢产量为9280万吨，同比下降了5.2%；印度4月产量为1010万吨，同比增长6.2%；日本4月产量为750万吨，同比下降了4.4%；美国4月产量为690万吨，同比下降3.9%。</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印度将限制食糖出口，这将给全球食品价格带来新的风险</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知情人士透露，印度政府计划在截至9月份的销售年度将糖出口限制在1000万吨。该人士表示，此举的目的是确保在10月份下一个制糖季节开始前有足够的库存。知情人士透露，印度限制糖出口将作为一种预防措施，以保障本国的粮食供应，这是继一个多星期前禁止销售小麦之后的又一保护主义行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中信建投期货点评认为，印度限制食糖出口的可能性偏小。有效的信息不是“限制出口”，而是在增产的背景下，印度依然可以实现高糖价、无补贴、创纪录的食糖出口，意味着当前全球需求旺盛，以及市场对于粮食危机的高敏感度。 </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APK-Inform：上调2022/23年度乌克兰谷物产量和出口量预估</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分析机构APK-Inform预计，乌克兰2021/2022年粮食出口量为4640万吨，其中小麦1880万吨，玉米2120万吨。将乌克兰2022年粮食产量预测从之前的4140万吨增加到4830万吨，其中玉米产量从1850万吨大幅提高至2520万吨，小麦产量从1696万吨上调到1710万吨。将乌克兰2022/23年粮食出口预测从之前的3320万吨上调到3940万吨，包括1230万吨小麦、2570万吨玉米。</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MPOA：5月1-20日马来西亚棕油产量预计环比减少13.09%</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据马来西亚棕榈油协会（MPOA）发布的数据显示，2022年5月1-20日马来西亚毛棕榈油产量预估环比减少13.09%，其中马来半岛减少15.42%，沙巴减少11.19%，沙捞越减少0.15%，马来东部减少8.51%。</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Anec：预计巴西5月大豆出口量为1127.8万吨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巴西全国谷物出口商协会（Anec）基于船运计划数据预测，预计巴西5月大豆出口量为1127.8万吨，低于上周预测的1148.3万吨；预计巴西5月豆粕出口量为190.3万吨，低于上周预测的200.9万吨；预计巴西5月玉米出口量为124.3万吨，低于上周预测的126.4万吨；预计5月巴西小麦出口量为10.91万吨，高于上周预测的10.47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截至5月22日，欧盟2021/2022年大豆进口量为1283万吨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欧盟委员会，截至5月22日，欧盟2021/2022年大豆进口量为1283万吨，而去年同期为1352万吨。欧盟2021/2022年玉米进口量为1466万吨，而去年同期为1364万吨。欧盟2021/2022年豆粕进口1447万吨，而去年同期为1544万吨。欧盟2021/2022年油菜籽进口477万吨，而去年同期为591万吨。欧盟2021/2022年棕榈油进口435万吨，而去年同期为477万吨。欧盟2021/2022年软小麦出口2413万吨，而去年同期为2423万吨。欧盟2021/2022年大麦出口675万吨，而去年同期为707万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澳锂矿商皮尔巴拉年内第二次拍卖结果出炉，成交价为5955美元/吨</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澳锂矿商皮尔巴拉年内第二次拍卖结果出炉，拍卖价位5955美元/吨FOB，运费90美元/吨，共计5000吨（+-10%），5.5%品位基准，计划2022年6月15-7月15发货，折合碳酸锂成本约41.9万元/吨。4月27日首次拍卖成交价为5650美元/吨，折合碳酸锂成本约为38万元/吨以上。</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截至5月20日当周，伦敦金属交易所（LME）期货和期权数据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①投机者已将看涨LME铝的净多仓增加10444手至102611手，为五周以来最高水平。只做多的头寸减少6437手至675395手，为逾三年来以来最低水平；而只做空的空头头寸减少16881手至572784手，为逾四年来以来最低水平。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②投机者已将看涨LME锌的净多仓增加1582手至25679手；只做多的头寸减少9957手至232268手；而只做空的空头头寸减少11540手至206589手。</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③投机者已将看涨LME铜的净多仓增加1121手至52259手，为逾三周以来最高水平。只做多的头寸减少7248手至259617手，创有纪录以来最低水平；而只做空的空头头寸减少8369手至207358手，创有纪录以来最低水平。</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美国能源部：从战略石油储备中出售4010万桶石油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美国能源部发布从战略石油储备中出售原油的额外通知，出售战略石油储备中至多达4010万桶的原油，此次出售属于拜登总统3月31日宣布释放原油储备的一部分。</w:t>
      </w: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多位中小银行人士透露，近期又有多地监管部门向属地中小银行下发通知，要求今年不能新增理财业务规模。去年下半年，就有多地监管部门下发类似通知。还有多家中小银行人士透露，已多次提交银行理财公司牌照申请材料，目前仍未获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人社部：截至一季度末，建立年金的企业数量达到12.22万家，同比增加12.09%；一季度全国企业年金养老金产品加权平均收益率为-2.75%，其中固定收益类组合一季度加权平均收益率为0.24%、含权益类组合一季度加权平均收益率为-3.19%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4月底以来A股悄然反弹，带动一大批新能源主题基金迅速“回血”。Wind数据显示，4月27日以来全市场有673只（以初始基金为统计口径）基金涨幅超过20%，其中新能源主题基金或重仓新能源个股的基金占比较大。其中，施成管理的国投瑞银新能源A以38.40%涨幅排名全市场第一；崔宸龙管理的前海开源新兴产业A，曹春林管理的创金合信新能源汽车A，均实现近30%的涨幅“回血”。</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基协日前一口气发布9份纪律处分决定书，涉及前海实盈、中投骏和、卓汇基金、正帆投资等4家私募基金管理人9名高管人员。值得注意的是，多名私募高管被取消基金从业资格，加入黑名单，期限是五年；但凌山是终身“拉黑”。</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据经济参考报，在万亿市场供给端和需求端的双向推动下，目前我国家族信托业务发展已进入快车道。根据中信登最新数据，截至2021年末，家族信托存续规模约为3494.81亿元，较2020年增长约30%。步入2022年，家族信托的表现更为抢眼，1月份新增规模达128.99亿元，环比增长33.54%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据券商中国，Wind发布的统计结果显示，截至5月20日累计发行的ESG主题基金达160只，总规模超2000亿元。业内人士认为，相比重仓白酒股，对新能源产业的投资显然更符合ESG的理念。不过，公募主题基金常随着板块轮动产生风格漂移的现象，期待环境主题基金能够守住本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厦门调整购房政策，厦门市户籍二孩及以上家庭可在全市范围内，购买180平以下的第三套住宅，但是二孩中至少有一人是未成年人。非厦门市户籍，大专及以上学历购房者或家庭持有半年以上劳动合同、工作证明、医社保证明，即可在岛外购房；持全日制本科证明、近半年医社保证明或劳动合同，可在厦门岛内购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广州明确，城市更新项目应统筹考虑周边业态、居住人口、职住平衡、租金承受能力等情况，规范政策性住房和中小户型租赁住房配置，丰富房源户型、增加套数供应，助力于完善住房保障体系和培育住房租赁市场健康发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3、安徽宣城：统一全市公积金贷款额度上限，最高贷款额度调整为50万元。符合人才引进政策最高贷款额度增加10万元，上限60万元。符合购买绿色建筑政策的在最高贷款额度基础上上浮20%。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4、江苏镇江：首次购买普通住房商业贷款最低首付20%；首次申请公积金贷款首付比例30%，第二次申请公积金贷款首付比例由60%调整为40%。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5、广东湛江：首次申请公积金贷款，单方缴存最高可贷30万元，双方缴存可贷60万元；第二次申请公积金贷款，单方缴存最高可贷25万元，双方缴存可贷50万元。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6、安徽黄山：对购买中心城区 (含高新区 ) 新建商品住房、新建非住宅类商品房且足额缴纳契税的，由受益财政分别按应税价格的1%、2%给予购房补贴。</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7、海南省建立“土地超市”制度，提高土地资源要素保障水平，促进项目“签约即拿地”“拿地即开工”。对超过2年仍未落实项目的批而未供土地，将自动纳入“土地超市”。</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务院办公厅印发《新污染物治理行动方案》，目标是到2025年，完成高关注、高产（用）量的化学物质环境风险筛查，完成一批化学物质环境风险评估；动态发布重点管控新污染物清单；对重点管控新污染物实施禁止、限制、限排等环境风险管控措施。有毒有害化学物质环境风险管理法规制度体系和管理机制逐步建立健全，新污染物治理能力明显增强。</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发改委正在牵头制定数据要素基础制度文件，将着力建设保障权益激活价值的数据产权制度，建立合规高效、场内外结合的数据要素流通交易制度，建立体现效率、促进公平的数据要素收益分配制度，建立安全可控、弹性包容的数据要素安全治理制度。</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十四五”数字经济发展规划》明确了“十四五”时期推动数字经济发展的蓝图。下一步发改委将重点推动三方面工作：一是研究起草推动数字化转型的指导意见；二是组织专项工程，提升行业整体数字化水平；三是布局数字化转型促进中心，提供数字化转型公共服务。</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据经济参考报，近日，国家发改委印发《“十四五”生物经济发展规划》。对此，业内人士表示，生物经济发展蓝图日益清晰，应系统谋划和整体推动我国生物经济高质量发展，依托强大国内市场，十万亿级生物经济产业规模有望快速形成，成为我国经济发展一个重要增长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湖北出台鼓励汽车消费措施，6月至12月将实施汽车以旧换新专项行动，报废旧车并购买新能源汽车的补贴8000元/辆、购买燃油汽车的补贴3000元/辆；转出旧车并购买新能源汽车的补贴5000元/辆、购买燃油汽车的补贴2000元/辆。另外，全面落实二手车交易增值税由2%下调至0.5%减税政策，组织实施新一轮新能源汽车下乡活动，开展新能源汽车推广活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6、湖北省制定实施油茶产业扩面提质增效行动方案，提出到2025年，全省油茶种植总面积达到642万亩，油茶全产业链产值达500亿元。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7、据乘联会5月零售目标调研显示，占总体市场约八成左右的乘用车厂商同比下滑超过两位数，初步推算本月狭义乘用车零售市场在132万辆左右，同比下降19%。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8、市场研究机构CINNO Research发布报告指出，4月份国内市场智能手机销量仅为1760万部，同比下滑21.6%，环比下滑12.2%，单月销量创下2020年疫情以来的第二差单月成绩，仅高于2020年2月水平，同时这是自2015年以来最差的4月历史销量。</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据市场调研机构Omdia数据，今年第一季度全球电视销量4907万台，销售额256.75亿美元，分别同比下滑4.3%和6.3%。三星电子的全球市场销售份额为32.9%，环比提高5.2个百分点，连续16年稳坐全球市场第一宝座。LG电子以17.7%的市场份额位列第二。其后是中国的TCL（8%）和海信（7.6%）、日本的索尼（7.6%）。</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1、美联储乔治：必须对过高通胀和过大幅度的通胀波动采取行动，预计美联储将在8月前将主要利率提高到2%左右（即6、7月各加息50个基点）；希望看到通胀以一种令人信服的方式下降。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2、欧洲央行管委霍尔茨曼：7月份加息50个基点是合适的；欧元区2023年和2024年的通胀率将超过2%；严格的欧洲央行前瞻性指引不再有意义。</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亚太经济合作组织（APEC）贸易部长会议在泰国首都曼谷闭幕，会议23日发表主席声明说，与会成员对疫后经济复苏挑战表示关切，提出通过维护多边贸易体制，推动实现开放、和平、充满活力并具有弹性的区域共同体。</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4、印尼央行将7天逆回购利率维持在3.5%不变，符合预期。印尼央行行长表示，将在6月将存款准备金率上调至6%，7月起将上调至7.5%，从9月起将上调至9%。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5、尼日利亚央行宣布加息150个基点，将基准贷款利率由11.5%上调至13%，以控制通胀。这是自2020年9月以来该国首次调整贷款基准利率。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6、美国5月Markit制造业PMI初值57.5，预期57.5，4月终值59.2；服务业PMI初值53.5，预期55.2，4月终值55.6；综合PMI初值53.8，预期55.5，4月终值56。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7、美国4月份新屋销售环比下降16.6%，至折年率59.1万套，为2020年4月以来最低水平。这是新屋销售连续第4个月下降，为2010年10月以来最长的连续下降，跌幅为新冠危机高峰以来最大。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8、欧元区5月制造业PMI初值54.4，创2020年11月以来新低，预期54.9，4月终值55.5；服务业PMI初值56.3，预期57.5，4月终值57.7；综合PMI初值54.9，预期55.1，4月终值55.8。</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9、德国5月制造业PMI初值54.7，预期54，4月终值54.6；服务业PMI初值56.3，预期57.2，4月终值57.6；综合PMI初值54.6，预期54，4月终值54.3。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10、法国5月制造业PMI初值54.5，创2021年10月以来新低，预期55，4月终值55.7；服务业PMI初值58.4，预期58.6，4月终值58.9；综合PMI初值57.1，预期57，4月终值57.6。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11、英国5月制造业PMI为54.6，预期55，前值55.8；服务业PMI为51.8，预期57，前值58.9；综合PMI为51.8，预期56.5，前值58.2。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12、日本5月制造业PMI初值为53.2，4月终值为53.5；服务业PMI初值为51.7，4月终值为50.7；综合PMI初值为51.4，4月终值为51.1。</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热门中概股多数下跌，声网跌19.7%，有道跌18.3%，灿谷跌17.86%，新濠影汇跌16.81%，世纪汇联跌15.54%，爱奇艺跌14.75%，BOSS直聘跌13.93%，哔哩哔哩跌11.96%；涨幅方面，华夏博雅涨17.92%，团车涨10.55%，丽翔教育涨6.96%。中概新能源汽车股全线走低，蔚来汽车跌8.31%，小鹏汽车跌7.55%，理想汽车跌7.29%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2、三星电子宣布，未来五年将在芯片、生物科技、新兴IT技术领域投资450万亿韩元（约合人民币2.37万亿元），增聘8万名员工，占其中八成的360万亿韩元将投入韩国国内。</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现代汽车集团旗下现代汽车、起亚、现代摩比斯等三大公司宣布，截至2025年将在韩国国内投资63万亿韩元（约合人民币3325亿元）。具体投资领域包括电动汽车、氢能电动汽车等电动化及新能源项目、机器人科学等新技术及新事业、内燃机车等既有事业的商品化和服务品质优化等。</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4、韩国乐天宣布，将在未来五年内集中投资37万亿韩元，其中41%将投资于新兴产业、建筑工程、租赁等领域。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5、韩华集团宣布，未来五年将在能源、碳中和、国防和航空航天等韩国国内产业投资总计37.6万亿韩元。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6、知情人士称，全球第四大车企Stellantis与三星SDI，将合资在美国建立一个新的锂电池工厂，以帮助加快Stellantis的电动汽车生产。工厂将于2025年投产，最初年产能为23吉瓦时，未来将提高到40吉瓦时。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7、丰田汽车表示，由于半导体短缺，该公司将6月全球产量目标削减约10万辆至85万辆左右。但截至明年3月的本财年全球生产约970万辆汽车目标维持不变。</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8、LG新能源计划从2023年10月开始，量产标准尺寸的磷酸铁锂电池，因公司瞄准储能系统市场。LG新能源可能在美国量产磷酸铁锂电池，并以此加强与特斯拉的合作。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9、摩根大通计划在未来三年内再聘请约1300名顾问，这是将其财富管理业务的资产增加到1万亿美元战略的一部分。</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10、霍尼韦尔重申预计本财年销售额为355亿-364亿美元，市场预期为360.3亿美元；每股收益8.5-8.8美元，市场预期为8.73美元。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11、嘉能可将支付15亿美元，以和解美国和英国对其涉嫌不当行为的调查。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12、瑞幸咖啡第一季度总净营收为24.046亿元，同比增长89.5%；净利润为1980万元，上年同期为净亏损2.325亿元；调整后净利润为9910万元，上年同期为净亏损1.76亿元。一季度净新开门店556家，环比增长9.2%。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13、多位知情人士称，印度经济型连锁酒店OYO将搁置其今年进行IPO的计划，主要担心市场低迷可能影响其估值。如果OYO在年底前再次加快IPO进程，则最早可能在2023年上市。</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1、国内商品期货夜盘收盘多数下跌，能源化工品涨跌不一，沥青涨3.12%，燃油涨2.28%，甲醇跌1.41%。黑色系全线下跌，焦炭跌1.72%，螺纹钢跌1.12%。农产品方面，棉花、玉米、玉米淀粉跌超1%。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据经济参考报，近期，国家发展改革委价格司、价格成本调查中心组织山西、陕西、内蒙古三省区发展改革委，相关煤炭生产企业，行业协会召开视频会，对开展2021年度煤炭生产成本调查工作进行部署。业内人士认为，随着逐渐进入夏季用煤旺季，同时全国疫情好转，工企复产逐步推进，煤炭需求将逐步回升。为此，煤炭保供稳价“工具箱”持续上新，后续煤炭供应保障能力有望提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3、国内钢材社会库存继续小幅下降。中钢协公布数据显示，5月中旬，21个城市5大品种钢材社会库存1208万吨，环比下降3%，比年初上升53.3%，比上年同期上升0.2%。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4、广州制定2022年度应对猪价下跌生猪应急财政补贴工作方案，在猪价过度下跌情形下保持存栏量不减少的生猪养殖场(户)，给予一次性应急财政补贴，补贴标准为按初次核定数据每头存栏生猪补贴200元。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5、世界钢铁协会数据显示，4月全球粗钢产量同比下降5.1%至1.627亿吨。其中，中国粗钢产量为9280万吨，同比下降5.2%；印度产量为1010万吨，增长6.2%；日本产量为750万吨，下降4.4%；美国产量为690万吨，下降3.9%。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6、美国能源部发布从战略石油储备中出售原油的额外通知，出售战略石油储备中至多达4010万桶的原油，此次出售属于拜登3月31日宣布释放原油储备的一部分。</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7、德国经济和气候保护部长哈贝克表示，欧盟可能会在“几天内”同意对俄罗斯石油进口实施禁运。欧盟委员会和美国正在研究一项关于限制全球油价的提案。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8、印度修订糖出口政策：今后仅仅允许获得食品部批准的糖料出口，且糖出口量的上限设定为1000万吨。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9、美国至5月20日当周API原油库存增加56.7万桶，预期减少69万桶，前值减少244.5万桶。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10、波罗的海干散货指数跌3.44%，报3253点。</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银行间主要利率债收益率多数小幅上行，短券表现稍弱；国债期货则相对坚挺，多数小幅收涨；银行间资金面整体平稳，隔夜回购利率仍维持在1.30%附近，不过非银机构边际略有收敛；地产债涨跌不一，“19金科03”跌超22%；证券公司债券波动较大，“22招证G1”和“21申证06”跌超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盘跌1.22%，成交额1217.8亿元；国光转债和荣晟转债均跌超11%，交科转债跌超10%，阿拉转债、同和转债、蓝盾转债和胜蓝转债均跌超9%，聚合转债跌逾8%，丝路转债跌逾7%；英联转债涨超34%，盘中二次临停；中矿转债和远东转债均涨超6%，盛路转债涨逾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中债民企支持工具推出首单房企信用风险缓释凭证。中债信用增进公司和上海银行联合创设信用风险缓释凭证，助力民营房企新城控股集团发行2022年第一期中期票据。信用风险缓释凭证拟创设总金额不超过1.3亿元，支持新城控股融资总规模不超过10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债券重大事件】“21福建阳光SCP002”未按期兑付本息；“21六合经开SCP001”触发投保事项无法恢复；标普下调一嗨租车长期发行人信用评级至“B”，展望“负面”；中诚信国际下调长青集团主体及“长集转债”信用等级至AA-，展望稳定；新城控股回应评级发生调整：各项业务均有序开展，现金流充裕；雅居乐集团回应穆迪下调评级：将提前做好2022年到期债务偿付安排；新城控股5月26日至27日将发行不超过10亿元中票；“20恒大02”回售金额约为39亿元；华晨集团：债权人申报债权总金额567亿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周二人民币兑美元中间价报6.6566，调升190个基点。在岸人民币兑美元16:30收盘报6.6671，较上一交易日跌37个基点；夜盘收报6.6540，较上一交易日夜盘跌52个基点。交易员表示，欧银紧缩预期升温，市场对美国经济的担忧限制了美元表现，美元短期恐高位震荡，人民币外部压力消减。</w:t>
      </w:r>
    </w:p>
    <w:p>
      <w:pPr>
        <w:keepNext w:val="0"/>
        <w:keepLines w:val="0"/>
        <w:widowControl/>
        <w:suppressLineNumbers w:val="0"/>
        <w:jc w:val="left"/>
      </w:pPr>
      <w:r>
        <w:rPr>
          <w:rFonts w:hint="eastAsia" w:ascii="仿宋" w:hAnsi="仿宋" w:eastAsia="仿宋" w:cs="仿宋"/>
          <w:sz w:val="24"/>
          <w:szCs w:val="28"/>
        </w:rPr>
        <w:t>2、欧洲央行发布金融稳定报告称，加密市场的规模及其复杂性的急剧增加意味着该行业有可能成为金融稳定风险之一，因此必须采取紧急监管。</w:t>
      </w:r>
    </w:p>
    <w:p>
      <w:pPr>
        <w:keepNext w:val="0"/>
        <w:keepLines w:val="0"/>
        <w:widowControl/>
        <w:suppressLineNumbers w:val="0"/>
        <w:jc w:val="left"/>
      </w:pPr>
    </w:p>
    <w:p>
      <w:pPr>
        <w:keepNext w:val="0"/>
        <w:keepLines w:val="0"/>
        <w:widowControl/>
        <w:suppressLineNumbers w:val="0"/>
        <w:jc w:val="left"/>
      </w:pPr>
      <w:bookmarkStart w:id="0" w:name="_GoBack"/>
      <w:r>
        <w:rPr>
          <w:rFonts w:ascii="Microsoft YaHei" w:hAnsi="Microsoft YaHei" w:eastAsia="Microsoft YaHei" w:cs="Microsoft YaHei"/>
          <w:b/>
          <w:i w:val="0"/>
          <w:caps w:val="0"/>
          <w:color w:val="333333"/>
          <w:spacing w:val="0"/>
          <w:kern w:val="0"/>
          <w:sz w:val="40"/>
          <w:szCs w:val="40"/>
          <w:u w:val="none"/>
          <w:bdr w:val="none" w:color="auto" w:sz="0" w:space="0"/>
          <w:lang w:val="en-US" w:eastAsia="zh-CN" w:bidi="ar"/>
        </w:rPr>
        <w:drawing>
          <wp:inline distT="0" distB="0" distL="114300" distR="114300">
            <wp:extent cx="5277485" cy="8483600"/>
            <wp:effectExtent l="0" t="0" r="571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77485" cy="8483600"/>
                    </a:xfrm>
                    <a:prstGeom prst="rect">
                      <a:avLst/>
                    </a:prstGeom>
                    <a:noFill/>
                    <a:ln w="9525">
                      <a:noFill/>
                    </a:ln>
                  </pic:spPr>
                </pic:pic>
              </a:graphicData>
            </a:graphic>
          </wp:inline>
        </w:drawing>
      </w:r>
      <w:bookmarkEnd w:id="0"/>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8D762C"/>
    <w:multiLevelType w:val="singleLevel"/>
    <w:tmpl w:val="628D762C"/>
    <w:lvl w:ilvl="0" w:tentative="0">
      <w:start w:val="1"/>
      <w:numFmt w:val="bullet"/>
      <w:lvlText w:val=""/>
      <w:lvlJc w:val="left"/>
      <w:pPr>
        <w:ind w:left="420" w:leftChars="0" w:hanging="420" w:firstLineChars="0"/>
      </w:pPr>
      <w:rPr>
        <w:rFonts w:hint="default" w:ascii="Wingdings" w:hAnsi="Wingdings"/>
      </w:rPr>
    </w:lvl>
  </w:abstractNum>
  <w:abstractNum w:abstractNumId="2">
    <w:nsid w:val="628D771F"/>
    <w:multiLevelType w:val="singleLevel"/>
    <w:tmpl w:val="628D771F"/>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30AFF083"/>
    <w:rsid w:val="37D77E59"/>
    <w:rsid w:val="5DEFECEF"/>
    <w:rsid w:val="657D161F"/>
    <w:rsid w:val="67E4651E"/>
    <w:rsid w:val="6F3F6644"/>
    <w:rsid w:val="6FF3D9E0"/>
    <w:rsid w:val="76DF05C7"/>
    <w:rsid w:val="7AEBE989"/>
    <w:rsid w:val="7FD59CB2"/>
    <w:rsid w:val="7FEF5DAA"/>
    <w:rsid w:val="B7EB2313"/>
    <w:rsid w:val="DDFFD333"/>
    <w:rsid w:val="EF3E958F"/>
    <w:rsid w:val="F99FC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8683</Words>
  <Characters>9816</Characters>
  <Lines>71</Lines>
  <Paragraphs>19</Paragraphs>
  <ScaleCrop>false</ScaleCrop>
  <LinksUpToDate>false</LinksUpToDate>
  <CharactersWithSpaces>9868</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2022-05-08T17:31:00Z</dcterms:created>
  <dc:creator>Administrator</dc:creator>
  <cp:lastModifiedBy>apple</cp:lastModifiedBy>
  <cp:lastPrinted>2022-05-08T17:36:00Z</cp:lastPrinted>
  <dcterms:modified xsi:type="dcterms:W3CDTF">2022-05-25T08:20:51Z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