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微软雅黑" w:hAnsi="微软雅黑" w:eastAsia="微软雅黑" w:cs="Calibri"/>
          <w:sz w:val="22"/>
          <w:szCs w:val="24"/>
        </w:rPr>
      </w:pPr>
      <w:r>
        <w:rPr>
          <w:rFonts w:ascii="微软雅黑" w:hAnsi="微软雅黑" w:eastAsia="微软雅黑" w:cs="Calibri"/>
          <w:b/>
          <w:color w:val="112845"/>
          <w:sz w:val="44"/>
        </w:rPr>
        <w:t>资讯早间报</w:t>
      </w:r>
      <w:r>
        <w:rPr>
          <w:rFonts w:ascii="微软雅黑" w:hAnsi="微软雅黑" w:eastAsia="微软雅黑" w:cs="Calibri"/>
          <w:sz w:val="22"/>
          <w:szCs w:val="24"/>
        </w:rPr>
        <w:t xml:space="preserve">                                            </w:t>
      </w:r>
    </w:p>
    <w:p>
      <w:pPr>
        <w:pStyle w:val="16"/>
        <w:rPr>
          <w:rFonts w:ascii="微软雅黑" w:hAnsi="微软雅黑" w:eastAsia="微软雅黑" w:cs="Calibri"/>
          <w:b/>
          <w:i/>
          <w:sz w:val="22"/>
          <w:szCs w:val="24"/>
        </w:rPr>
      </w:pPr>
      <w:r>
        <w:rPr>
          <w:rFonts w:ascii="微软雅黑" w:hAnsi="微软雅黑" w:eastAsia="微软雅黑" w:cs="Calibri"/>
          <w:b/>
          <w:sz w:val="22"/>
          <w:szCs w:val="24"/>
        </w:rPr>
        <w:t xml:space="preserve">冠通研究 </w:t>
      </w:r>
      <w:r>
        <w:rPr>
          <w:rFonts w:ascii="微软雅黑" w:hAnsi="微软雅黑" w:eastAsia="微软雅黑" w:cs="Calibri"/>
          <w:b/>
          <w:sz w:val="22"/>
          <w:szCs w:val="24"/>
        </w:rPr>
        <w:fldChar w:fldCharType="begin"/>
      </w:r>
      <w:r>
        <w:rPr>
          <w:rFonts w:ascii="微软雅黑" w:hAnsi="微软雅黑" w:eastAsia="微软雅黑" w:cs="Calibri"/>
          <w:b/>
          <w:sz w:val="22"/>
          <w:szCs w:val="24"/>
        </w:rPr>
        <w:instrText xml:space="preserve"> </w:instrText>
      </w:r>
      <w:r>
        <w:rPr>
          <w:rFonts w:hint="eastAsia" w:ascii="微软雅黑" w:hAnsi="微软雅黑" w:eastAsia="微软雅黑" w:cs="Calibri"/>
          <w:b/>
          <w:sz w:val="22"/>
          <w:szCs w:val="24"/>
        </w:rPr>
        <w:instrText xml:space="preserve">TIME \@ "yyyy/M/d"</w:instrText>
      </w:r>
      <w:r>
        <w:rPr>
          <w:rFonts w:ascii="微软雅黑" w:hAnsi="微软雅黑" w:eastAsia="微软雅黑" w:cs="Calibri"/>
          <w:b/>
          <w:sz w:val="22"/>
          <w:szCs w:val="24"/>
        </w:rPr>
        <w:instrText xml:space="preserve"> </w:instrText>
      </w:r>
      <w:r>
        <w:rPr>
          <w:rFonts w:ascii="微软雅黑" w:hAnsi="微软雅黑" w:eastAsia="微软雅黑" w:cs="Calibri"/>
          <w:b/>
          <w:sz w:val="22"/>
          <w:szCs w:val="24"/>
        </w:rPr>
        <w:fldChar w:fldCharType="separate"/>
      </w:r>
      <w:r>
        <w:rPr>
          <w:rFonts w:hint="eastAsia" w:ascii="微软雅黑" w:hAnsi="微软雅黑" w:eastAsia="微软雅黑" w:cs="Calibri"/>
          <w:b/>
          <w:sz w:val="22"/>
          <w:szCs w:val="24"/>
        </w:rPr>
        <w:t>2022/5/11</w:t>
      </w:r>
      <w:r>
        <w:rPr>
          <w:rFonts w:ascii="微软雅黑" w:hAnsi="微软雅黑" w:eastAsia="微软雅黑" w:cs="Calibri"/>
          <w:b/>
          <w:sz w:val="22"/>
          <w:szCs w:val="24"/>
        </w:rPr>
        <w:fldChar w:fldCharType="end"/>
      </w:r>
    </w:p>
    <w:p>
      <w:pPr>
        <w:jc w:val="center"/>
        <w:rPr>
          <w:rFonts w:ascii="微软雅黑" w:hAnsi="微软雅黑" w:eastAsia="微软雅黑" w:cs="Calibri"/>
          <w:b/>
          <w:sz w:val="22"/>
          <w:szCs w:val="24"/>
          <w:u w:val="single"/>
        </w:rPr>
      </w:pPr>
    </w:p>
    <w:p>
      <w:pPr>
        <w:spacing w:after="120" w:line="288" w:lineRule="auto"/>
        <w:jc w:val="center"/>
        <w:rPr>
          <w:rFonts w:hint="eastAsia" w:ascii="微软雅黑" w:hAnsi="微软雅黑" w:eastAsia="微软雅黑" w:cs="Calibri"/>
          <w:b/>
          <w:smallCaps/>
          <w:color w:val="112845"/>
          <w:sz w:val="32"/>
          <w:szCs w:val="36"/>
          <w:lang w:val="en-US" w:eastAsia="zh-Hans"/>
        </w:rPr>
      </w:pPr>
      <w:r>
        <w:rPr>
          <w:rFonts w:hint="eastAsia" w:ascii="微软雅黑" w:hAnsi="微软雅黑" w:eastAsia="微软雅黑" w:cs="Calibri"/>
          <w:b/>
          <w:smallCaps/>
          <w:color w:val="112845"/>
          <w:sz w:val="32"/>
          <w:szCs w:val="36"/>
          <w:lang w:val="en-US" w:eastAsia="zh-Hans"/>
        </w:rPr>
        <w:t>市场走势</w:t>
      </w:r>
    </w:p>
    <w:p>
      <w:pPr>
        <w:spacing w:after="120" w:line="288" w:lineRule="auto"/>
        <w:jc w:val="center"/>
        <w:rPr>
          <w:rFonts w:hint="eastAsia" w:ascii="仿宋" w:hAnsi="仿宋" w:eastAsia="仿宋" w:cs="仿宋"/>
          <w:sz w:val="24"/>
          <w:szCs w:val="28"/>
        </w:rPr>
      </w:pPr>
      <w:r>
        <w:rPr>
          <w:rFonts w:hint="eastAsia" w:ascii="仿宋" w:hAnsi="仿宋" w:eastAsia="仿宋" w:cs="仿宋"/>
          <w:sz w:val="24"/>
          <w:szCs w:val="28"/>
        </w:rPr>
        <w:t>国内期货主力合约涨跌互现。沪锡跌超4%，SC原油跌超3%，燃料油跌超2%，短纤、纯碱、沪银、沪铅、沪锌跌超1%。涨幅方面，铁矿石、菜籽粕涨超1%。</w:t>
      </w:r>
    </w:p>
    <w:p>
      <w:pPr>
        <w:spacing w:after="120" w:line="288" w:lineRule="auto"/>
        <w:jc w:val="center"/>
        <w:rPr>
          <w:rFonts w:hint="eastAsia"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ascii="微软雅黑" w:hAnsi="微软雅黑" w:eastAsia="微软雅黑" w:cs="Calibri"/>
          <w:b/>
          <w:smallCaps/>
          <w:color w:val="112845"/>
          <w:sz w:val="32"/>
          <w:szCs w:val="36"/>
        </w:rPr>
        <w:t>重要资讯</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【宏观资讯】</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hint="eastAsia" w:ascii="仿宋" w:hAnsi="仿宋" w:eastAsia="仿宋" w:cs="仿宋"/>
          <w:b/>
          <w:bCs/>
          <w:sz w:val="24"/>
          <w:szCs w:val="28"/>
        </w:rPr>
      </w:pPr>
      <w:r>
        <w:rPr>
          <w:rFonts w:hint="eastAsia" w:ascii="仿宋" w:hAnsi="仿宋" w:eastAsia="仿宋" w:cs="仿宋"/>
          <w:b/>
          <w:bCs/>
          <w:sz w:val="24"/>
          <w:szCs w:val="28"/>
        </w:rPr>
        <w:t>乌克兰媒体称乌海军副司令阵亡</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乌克兰国家通讯社9日援引马里乌波尔市市长顾问安德留先科的话报道说，在联合国车队离开顿涅茨克地区后，俄军恢复了对马里乌波尔亚速钢铁厂的进攻。俄军试图攻占撤离出口的桥梁，但遭乌军击退。乌克兰国家通讯社当天还报道说，乌海军副司令伊霍尔·贝扎伊在乘坐一架米-14直升机执行任务时，因被俄军导弹击中而身亡。</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乘联会：4月新能源乘用车批发销量达到28.0万辆，环比下降38.5%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乘联会：4月新能源乘用车批发销量达到28.0万辆，同比增长50.1%，环比下降38.5%，环比下降幅度异常，新能源发展同样受到当前疫情波及和冲击。1-4月新能源乘用车批发146.9万辆，同比增长119.0%。4月新能源乘用车零售销量达到28.2万辆，同比增长78.4%，环比下降36.5%，异于历年4月走势。1-4月新能源乘用车国内零售135.2万辆，同比增长128.4%。</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乘联会：2022年4月乘用车市场零售达到104.2万辆，环比下降34.0%</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乘联会：2022年4月乘用车市场零售达到104.2万辆，同比下降35.5%，环比下降34.0%，4月零售同比与环比增速均处于当月历史最低值。1-4月累计零售595.7万辆，同比下降11.9%，同比减少80万辆，其中4月同比下降57万辆的影响较大。</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发改委：进一步强化大宗商品市场监管，加强大宗商品价格监测预警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国家发展改革委等四部门发布关于做好2022年降成本重点工作的通知。通知提出，加强重要原材料和初级产品保供稳价。继续做好能源、重要原材料保供稳价工作，保障民生和企业正常生产经营用电。增强国内资源生产保障能力，加快油气、矿产等资源勘探开发，保障初级产品供给。加强原材料产需对接，推动产业链上下游衔接联动。进一步强化大宗商品市场监管，加强大宗商品价格监测预警。</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【黑色系期货】</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sz w:val="24"/>
          <w:szCs w:val="28"/>
        </w:rPr>
      </w:pPr>
      <w:r>
        <w:rPr>
          <w:rFonts w:hint="eastAsia" w:ascii="仿宋" w:hAnsi="仿宋" w:eastAsia="仿宋" w:cs="仿宋"/>
          <w:b/>
          <w:bCs/>
          <w:sz w:val="24"/>
          <w:szCs w:val="28"/>
        </w:rPr>
        <w:t>据Mysteel，10日唐山个别钢厂晚8点起执行焦炭价格下调200元/吨，降后准一级焦炭现汇到厂含税价3460—3510元/吨。</w:t>
      </w:r>
      <w:r>
        <w:rPr>
          <w:rFonts w:hint="eastAsia" w:ascii="仿宋" w:hAnsi="仿宋" w:eastAsia="仿宋" w:cs="仿宋"/>
          <w:sz w:val="24"/>
          <w:szCs w:val="28"/>
        </w:rPr>
        <w:t xml:space="preserve"> </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郑商所调整动力煤期货交易保证金标准和涨跌停板幅度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郑商所公告，经研究决定，现将动力煤期货2305合约交易保证金标准为50%，涨跌停板幅度为10%。按规则规定执行的交易保证金标准和涨跌停板幅度高于上述标准的，仍按原规定执行。</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国家发展改革委部署煤炭主产省做好煤炭价格调控监管政策宣讲工作</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近日，在国家发展改革委统一部署下，山西、陕西、内蒙古等重点省区发展改革委会同市场监管部门，组织当地煤炭和电力企业、行业协会、煤炭交易中心召开专题会议，就国家发展改革委《关于进一步完善煤炭市场价格形成机制的通知》（发改价格〔2022〕303号，以下称303号文）和关于明确煤炭领域经营者哄抬价格行为的公告（2022年第4号）的核心内容和政策要求，进行了系统讲解并现场释疑解惑，提醒督促煤炭生产经营者依法合规经营，引导煤炭价格运行在合理区间。</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有关煤炭生产经营企业一致表示，将严格遵守国家有关文件要求，自觉规范经营行为，以实际行动保持煤炭价格运行在合理区间。下一步，国家发展改革委将指导各地继续做好政策宣讲工作，确保当地煤炭生产经营者“应知尽知”。</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【农产品期货】</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机构预计马来西亚5月1—10日棕榈油出口量环比增加40.3%</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据船运调查机构ITS数据显示，马来西亚5月1—10日棕榈油出口量为390938吨，较4月1—10日出口的278621吨增加40.3%。</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Unica：2022年4月下半月巴西中南部糖产量下跌38.71%</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巴西蔗糖行业协会（Unica）周二称，4月下半月巴西中南部地区的糖产量达到93.4万吨，上年同期为152.4万吨。乙醇产量为10.94亿升，上年同期为13.0亿升。甘蔗含糖量为110.64公斤/吨，上年同期为121.11公斤/吨。37.20%的蔗汁用于制糖，上年同期为44.51%。</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sz w:val="24"/>
          <w:szCs w:val="28"/>
        </w:rPr>
      </w:pPr>
      <w:r>
        <w:rPr>
          <w:rFonts w:hint="eastAsia" w:ascii="仿宋" w:hAnsi="仿宋" w:eastAsia="仿宋" w:cs="仿宋"/>
          <w:b/>
          <w:bCs/>
          <w:sz w:val="24"/>
          <w:szCs w:val="28"/>
        </w:rPr>
        <w:t>2022年第七批中央储备冻猪肉收储竞价交易4万吨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华储网发布关于2022年第七批中央储备冻猪肉收储竞价交易有关事项的通知：本次收储挂牌竞价交易4万吨。</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Abiove：预计巴西2022年大豆期末库存为258.2万吨，较此前预测调升16.2万吨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据外媒报道，巴西植物油行业协会（Abiove）周二发布的报告显示，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①预计2022年大豆产量为1.254亿吨，较此前预估值上调10万吨。预计巴西2022年大豆压榨量达到创纪录的4800万吨，与此前预估值保持一致。</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②巴西2022年大豆出口量预估维持7720万吨不变。2022年巴西大豆年末库存预计为258.2万吨，此前预测为242万吨。巴西豆粕出口量预估在创纪录的1830万吨，与此前预估值保持一致。</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马来西亚考虑降低棕榈油出口税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据外媒报道，马来西亚大宗商品部长表示，马来西亚考虑降低棕榈油出口税，以满足供应紧张情况下不断增长的需求。 可能将棕榈油出口税率从目前的8%降至4%-6%。可能最早在6月做出决定。马来西亚将以较慢的速度推出生物柴油，以满足棕榈油在食用方面的需求。印度、伊朗、孟加拉国渴望购买马来西亚棕榈油。</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美国德克萨斯州正经历2011年以来最严重干旱，棉花或面临大幅减产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美国农业主产区之一德克萨斯州正在经历2011年以来最严重的干旱。美国最大棉花生产商Plains Cotton Growers Inc.首席执行官Kody Bessent表示，2011年干旱严重时，美国的棉花种植者放弃了55%的种植面积，创下历史新高。而最近的检测数据表明，目前的干旱情况可能更糟。注：德克萨斯州的棉花产量约占美国总产量的一半，而美国又是全球最大的棉花出口商。</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马来西亚5月1—10日棕榈油出口量环比增加38.85%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据马来西亚独立检验机构AmSpec数据显示，马来西亚5月1—10日棕榈油出口量为376573吨，较4月1—10日出口的271201吨增加38.85%。</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MPOB月报：马棕油4月出口量超预期减少，库存环比大增11.48%</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北京时间5月10日中午12:30 马来西亚棕榈油局MPOB公布4月供需报告显示，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①马来西亚4月棕榈油产量为1462021吨，环比增长3.60%，但低于去年同期的152万吨和预期的148万吨；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②马来西亚4月棕榈油进口为76395吨，环比减少9.99%，同时低于去年同期的11万吨和预期的8-9.5万吨；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③马来西亚4月棕榈油出口为1054550吨，环比减少17.73%，并远远低于去年同期的134万吨和预期的110-119.5万吨；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④马来西亚4月棕榈油库存量为1641994吨，环比增长11.48%，为六个月以来首次录得增加，并高于去年同期的155万吨和路透预期的155万吨，但低于彭博预期的166万吨。</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 xml:space="preserve">郑商所调整苹果期货合约交易保证金标准和涨跌停板幅度 </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自2022年5月13日结算时起，苹果期货合约的交易保证金标准调整为10%，涨跌停板幅度调整为9%。</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Anec：预计本周巴西大豆出口量为286.99万吨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巴西全国谷物出口商协会（Anec）基于船运计划数据预测，5月8日-5月14日期间，巴西大豆出口量为286.99万吨，上周为264.83万吨；豆粕出口量为46.49万吨，上周为45.84万吨；玉米出口量为38.14万吨，上周为27.03万吨。</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Anec：预计巴西5月大豆出口量为1062万吨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巴西全国谷物出口商协会（Anec）基于船运计划数据预测，预计巴西5月大豆出口量为1062万吨，高于上周预测的800万吨；预计巴西5月豆粕出口量为192万吨，高于上周预测的168万吨；预计巴西5月玉米出口量为92.72万吨，高于上周预测的73.75万吨。</w:t>
      </w:r>
    </w:p>
    <w:p>
      <w:pPr>
        <w:spacing w:after="120" w:line="288" w:lineRule="auto"/>
        <w:jc w:val="left"/>
        <w:rPr>
          <w:rFonts w:hint="eastAsia" w:ascii="仿宋" w:hAnsi="仿宋" w:eastAsia="仿宋" w:cs="仿宋"/>
          <w:sz w:val="24"/>
          <w:szCs w:val="28"/>
        </w:rPr>
      </w:pPr>
    </w:p>
    <w:p>
      <w:pPr>
        <w:spacing w:after="120" w:line="288" w:lineRule="auto"/>
        <w:jc w:val="center"/>
        <w:rPr>
          <w:rFonts w:hint="eastAsia"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郑商所调整尿素期货合约交易保证金标准</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自2022年5月13日结算时起，尿素期货2206、2207、2208及2209合约的交易保证金标准调整为15%。</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乌克兰管网机构：俄罗斯通过一个关键入口的天然气输入将于周三停止</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乌克兰的天然气管网机构表示，俄罗斯通过一个关键入口对欧洲的天然气输送将从周三起停止，因为占领军干扰了该压缩站的运行。乌克兰天然气输送系统运营机构在其网站上宣布，从上午7点开始通过Sokhranivka入口的天然气输送遭遇不可抗力。仍然存在着通过其他路径将天然气输送到Sudzha压缩站、从而履行欧洲合同的可能性。</w:t>
      </w:r>
    </w:p>
    <w:p>
      <w:pPr>
        <w:spacing w:after="120" w:line="288" w:lineRule="auto"/>
        <w:jc w:val="left"/>
        <w:rPr>
          <w:rFonts w:hint="eastAsia" w:ascii="仿宋" w:hAnsi="仿宋" w:eastAsia="仿宋" w:cs="仿宋"/>
          <w:sz w:val="24"/>
          <w:szCs w:val="28"/>
        </w:rPr>
      </w:pPr>
    </w:p>
    <w:p>
      <w:pPr>
        <w:numPr>
          <w:ilvl w:val="0"/>
          <w:numId w:val="2"/>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EIA短期能源展望报告：2022年全球原油需求增速预期为222万桶/日</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①2022年全球原油需求增速预期为222万桶/日，此前预计为242万桶/日；2023年全球原油需求增速预期为194万桶/日，此前预计为193万桶/日。预计2022年全球原油总消费量为9961万桶/日，此前预期为9980万桶/日。预计2023年全球原油总消费量为1.0155亿桶/日，此前预期为1.0173亿桶/日。预计2022年WTI原油价格为98.20美元/桶，此前预期为97.96美元/桶。</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②预计2023年布伦特价格为97.24美元/桶，此前预期为92.57美元/桶。预计2022年布伦特价格为103.35美元/桶，此前预期为103.37美元/桶。预计2022年美国原油产量将增加72.00万桶/日，此前为82.00万桶/日。预计2023年美国原油产量将增加94.00万桶/日，此前为94.00万桶/日。预计2022年美国原油需求增速为73.00万桶/日，此前为80.00万桶/日。</w:t>
      </w:r>
    </w:p>
    <w:p>
      <w:pPr>
        <w:spacing w:after="120" w:line="288" w:lineRule="auto"/>
        <w:jc w:val="left"/>
        <w:rPr>
          <w:rFonts w:hint="eastAsia"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③预计2023年美国原油需求增速为27.00万桶/日，此前为28.00万桶/日。预计2023年美国原油消费量为2078.00万桶/日，此前预期为2086.00万桶/日。预计2022年天然气价格为7.70美元/桶，此前预期为5.43美元/桶。预计2023年天然气价格为4.93美元/桶，此前预期为4.17美元/桶</w:t>
      </w: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【金属期货】</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美国初请失业金人数为2022年2月12日当周以来新高</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美国至4月30日当周初请失业金人数录得20万人，为2022年2月12日当周以来新高。机构认为，美国上周初请失业金人数增幅超过预期，但仍维持在与劳动力市场趋紧和薪资进一步上涨相一致的水平。</w:t>
      </w: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巴西商贸部工业品出口数据汇总</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2022年4月第5周，共计19个工作日，</w:t>
      </w: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①巴西铁矿石2485.84万吨，去年5月为2561.84万吨。日均装运量为130.83万吨/日，较去年5月的128.09万吨/日增加2.14%</w:t>
      </w: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②累计装出铜矿石和铜精矿6.84万吨，去年5月为10.29万吨。日均装运量为0.36万吨/日，较去年5月的0.51万吨/日减少29.98%</w:t>
      </w: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③累计装出铝矿石和铝精矿26.96万吨，去年5月为33.19万吨。日均装运量为1.42万吨/日，较去年5月的1.66万吨/日减少14.5%</w:t>
      </w:r>
    </w:p>
    <w:p>
      <w:pPr>
        <w:spacing w:after="120" w:line="288" w:lineRule="auto"/>
        <w:jc w:val="left"/>
        <w:rPr>
          <w:rFonts w:ascii="仿宋" w:hAnsi="仿宋" w:eastAsia="仿宋" w:cs="仿宋"/>
          <w:sz w:val="24"/>
          <w:szCs w:val="28"/>
        </w:rPr>
      </w:pPr>
    </w:p>
    <w:p>
      <w:pPr>
        <w:spacing w:after="120" w:line="288" w:lineRule="auto"/>
        <w:jc w:val="center"/>
        <w:rPr>
          <w:rFonts w:ascii="仿宋" w:hAnsi="仿宋" w:eastAsia="仿宋" w:cs="仿宋"/>
          <w:b/>
          <w:bCs/>
          <w:sz w:val="24"/>
          <w:szCs w:val="28"/>
        </w:rPr>
      </w:pPr>
      <w:r>
        <w:rPr>
          <w:rFonts w:hint="eastAsia" w:ascii="仿宋" w:hAnsi="仿宋" w:eastAsia="仿宋" w:cs="仿宋"/>
          <w:b/>
          <w:bCs/>
          <w:sz w:val="24"/>
          <w:szCs w:val="28"/>
        </w:rPr>
        <w:t>【能化期货】</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新加坡企业发展局（ESG）：新加坡燃料油库存增加138.5万桶，至2052.9万桶的两周高点</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截至5月4日当周，新加坡燃料油库存增加138.5万桶，至2052.9万桶的两周高点。轻馏分油库存在增加155万桶，达到1481.6万桶的六周高点。中质馏分油库存下降98.8万桶，降至2013年8月以来的最低水平，至605.5万桶。</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“欧佩克+”成员国决定将6月石油开采量维持在日均43.2万桶</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消息人士：欧佩克+同意6月石油开采量维持在日均43.2万桶。下一次“欧佩克+”部长级会议将在6月2日举行。</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乌克兰扣押3.3万吨俄罗斯和白俄罗斯化肥</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乌克兰总检察院宣布扣押3.3万吨属于俄罗斯和白俄罗斯企业的化肥，扣押是在进行针对大额故意逃税案件调查的框架下作出的。据介绍，由于违反乌克兰相关海关法，这批货物被扣押在乌克兰境内，货物总价值约为2200万美元。目前正在研究将这批货物没收充公的问题。</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美国EIA天然气库存变化值录得2021年10月22日当周以来最大增幅</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EIA天然气报告：截至4月29日当周，美国天然气库存总量为15670亿立方英尺，较此前一周增加770亿立方英尺，为2021年10月22日当周以来最大增幅，较去年同期减少3820亿立方英尺，同比降幅19.6%，同时较5年均值低3060亿立方英尺，降幅16.3%。</w:t>
      </w:r>
    </w:p>
    <w:p>
      <w:pPr>
        <w:spacing w:after="120" w:line="288" w:lineRule="auto"/>
        <w:jc w:val="left"/>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拜登政府寻求购买6000万桶原油</w:t>
      </w:r>
    </w:p>
    <w:p>
      <w:pPr>
        <w:spacing w:after="120" w:line="288" w:lineRule="auto"/>
        <w:jc w:val="left"/>
        <w:rPr>
          <w:rFonts w:ascii="仿宋" w:hAnsi="仿宋" w:eastAsia="仿宋" w:cs="仿宋"/>
          <w:sz w:val="24"/>
          <w:szCs w:val="28"/>
        </w:rPr>
      </w:pPr>
    </w:p>
    <w:p>
      <w:pPr>
        <w:spacing w:after="120" w:line="288" w:lineRule="auto"/>
        <w:jc w:val="left"/>
        <w:rPr>
          <w:rFonts w:ascii="仿宋" w:hAnsi="仿宋" w:eastAsia="仿宋" w:cs="仿宋"/>
          <w:sz w:val="24"/>
          <w:szCs w:val="28"/>
        </w:rPr>
      </w:pPr>
      <w:r>
        <w:rPr>
          <w:rFonts w:hint="eastAsia" w:ascii="仿宋" w:hAnsi="仿宋" w:eastAsia="仿宋" w:cs="仿宋"/>
          <w:sz w:val="24"/>
          <w:szCs w:val="28"/>
        </w:rPr>
        <w:t>美国能源部一位官员告诉CNN，拜登政府计划在今年秋天寻求购买6000万桶原油，这是长达数年的补充美国日益减少的紧急石油储备过程的第一步。这将标志着美国能源部自21世纪初以来首次为战略石油储备(SPR)补充大量石油。另有消息人士称，美国第一批战略石油储备（SPR）的石油补充将根据市场情况决定，可能会在2023财年之后交付。</w:t>
      </w:r>
    </w:p>
    <w:p>
      <w:pPr>
        <w:spacing w:after="120" w:line="288" w:lineRule="auto"/>
        <w:jc w:val="left"/>
        <w:rPr>
          <w:rFonts w:ascii="仿宋" w:hAnsi="仿宋" w:eastAsia="仿宋" w:cs="仿宋"/>
          <w:sz w:val="24"/>
          <w:szCs w:val="28"/>
        </w:rPr>
      </w:pPr>
    </w:p>
    <w:p>
      <w:pPr>
        <w:spacing w:after="120" w:line="288" w:lineRule="auto"/>
        <w:jc w:val="center"/>
        <w:rPr>
          <w:rFonts w:ascii="微软雅黑" w:hAnsi="微软雅黑" w:eastAsia="微软雅黑" w:cs="Calibri"/>
          <w:b/>
          <w:smallCaps/>
          <w:color w:val="112845"/>
          <w:sz w:val="32"/>
          <w:szCs w:val="36"/>
        </w:rPr>
      </w:pPr>
      <w:r>
        <w:rPr>
          <w:rFonts w:hint="eastAsia" w:ascii="微软雅黑" w:hAnsi="微软雅黑" w:eastAsia="微软雅黑" w:cs="Calibri"/>
          <w:b/>
          <w:smallCaps/>
          <w:color w:val="112845"/>
          <w:sz w:val="32"/>
          <w:szCs w:val="36"/>
        </w:rPr>
        <w:t>金融市场</w:t>
      </w:r>
    </w:p>
    <w:p>
      <w:pPr>
        <w:spacing w:after="120" w:line="240" w:lineRule="auto"/>
        <w:rPr>
          <w:rFonts w:ascii="仿宋" w:hAnsi="仿宋" w:eastAsia="仿宋" w:cs="仿宋"/>
          <w:sz w:val="24"/>
          <w:szCs w:val="28"/>
        </w:rPr>
      </w:pPr>
    </w:p>
    <w:p>
      <w:pPr>
        <w:pStyle w:val="21"/>
        <w:numPr>
          <w:ilvl w:val="0"/>
          <w:numId w:val="1"/>
        </w:numPr>
        <w:spacing w:after="120" w:line="288" w:lineRule="auto"/>
        <w:jc w:val="left"/>
        <w:rPr>
          <w:rFonts w:ascii="仿宋" w:hAnsi="仿宋" w:eastAsia="仿宋" w:cs="仿宋"/>
          <w:b/>
          <w:bCs/>
          <w:sz w:val="24"/>
          <w:szCs w:val="28"/>
        </w:rPr>
      </w:pPr>
      <w:r>
        <w:rPr>
          <w:rFonts w:hint="eastAsia" w:ascii="仿宋" w:hAnsi="仿宋" w:eastAsia="仿宋" w:cs="仿宋"/>
          <w:b/>
          <w:bCs/>
          <w:sz w:val="24"/>
          <w:szCs w:val="28"/>
        </w:rPr>
        <w:t>金融</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1、国际资管巨头加码上海，QDLP和QFLP试点审批提速。近期先后有汉领资本、建银国际、鼎晖投资、集富亚洲（二期）四家机构申请参与QFLP试点；贝莱德基金、安中投资两家机构申请参与QDLP试点。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五一小长假刚过，就有一批主动权益基金宣布重新“开门迎客”，恢复大额申购业务。其中不乏知名基金经理管理的产品，如一人独揽年内权益基金业绩榜单前三的万家基金黄海，以及中庚旗下价值派名将丘栋荣。业内表示，近期市场持续震荡，投资者情绪低迷，权益基金选择此时放开大额申购预示着基金经理对后市依然充满信心。同时也可以为基金补充弹药，基民“抄底”开放投资工具。</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楼市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5月以来，江苏省徐州市、连云港市、无锡市以及江西省赣州市、广东省梅州市等多地发布或实施了稳楼市政策，因城施策力度明显加大。据中原地产研究院统计，从全国累计数据看，2022年至今已有近110个城市发布稳楼市新政。根据公开信息，多地稳楼市政策主要包括降低购房首付比例、下调房贷利率、放松限售、推出契税优惠、购房补贴、提高公积金贷款最高额度等。</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2、今年广州首轮集中供地正式拉开帷幕，除越秀、天河、从化三区无土地挂牌以外，其余各区合计出让18宗地块，起拍总价367.7亿元。最终，17宗地块成交（其中15宗底价成交），总金额约341.4亿元。</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产业</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1、据水利部，今年一季度，我国完成农村供水工程建设投资154亿元。预计到今年底，农村自来水普及率可达85%，规模化供水工程覆盖农村人口的比例预计可达54%。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乘联会秘书长崔东树发文称，全国乘用车市场总体走势不强，作为唯一没有普及的消费品，乘用车消费持续低迷，促进车市消费需要更多的措施。近几年全国个人所得税的增长很强，应该发挥个人所得税的购车减税效应，调动消费者购车热情，实现拉动消费的可持续增长。</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据中物联，4月份中国物流业景气指数为43.8%，较上月回落4.9个百分点；中国仓储指数为46.5%，较上月回落0.4个百分点。中物联会长助理何辉认为，受本轮疫情点多、面广、频发的影响，物流业景气指数连续两个月低于50%，4月份指数收缩幅度进一步加大。</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4、AITO汽车宣布对问界M5四驱版车型进行售价调整。问界M5四驱性能版车型售价上涨1.5万元，调整后起售价为29.48万元。价格调整将从5月6日零时起生效。</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5、IDC发布《2021年网络市场跟踪报告》显示，2021年中国网络市场规模为102.4亿美元（约合660亿元人民币），同比增长12.1%，其中交换机、路由器和WLAN市场分别增长17.5%、-2.6%和47.2%。</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海外</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1、欧洲央行管委霍尔茨曼表示，欧洲央行计划加息，将对此进行讨论，并可能会在6月的会议上采取行动。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2、美国至4月30日当周初请失业金人数20万人，创近3个月新高，预期18.2万人，前值18万人修正为18.1万人；至4月23日当周续请失业金人数138.4万人，预期140万人，前值140.8万人修正为140.3万人。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3、美国第一季度非农生产率环比折年率下降7.5%，创1947年以来最大降幅。一季度平均时薪增长3.2%，但鉴于生产率下降，单位劳动力成本攀升11.6%。</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4、美国抵押贷款利率重拾升势。房地美公告称，30年期平均利率由上周的5.1%跃升至5.27%，创下2009年8月以来最高。</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5、波兰央行宣布加息75个基点至5.25%，加息幅度低于市场此前预期的100个基点。</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6、捷克央行宣布加息75个基点，并表示下一次会议可能会进一步加息。</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7、挪威央行维持基准利率在0.75%不变，符合市场预期，并表示政策利率很可能在6月上调。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8、卡塔尔央行宣布加息，将存款利率提高50个基点至1.5%，将贷款利率提高25个基点至2.75%，同时将回购利率提高50个基点至1.75%。</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9、土耳其4月份通胀较上个月增长7.25%，达到69.97%，再创近20年通胀新高。土耳其央行宣布，将土耳其2022年年底的通胀预期从23.2%上调至42.8%。</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10、德国3月季调后工厂订单环比降4.7%，预期降1.1%，前值降2.2%；同比降3.1%，预期降0.7%，前值增2.9%。</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11、法国3月工业产出同比升0.1%，预期升1.4%，前值升2.4%；环比降0.5%，预期持平，前值自降0.9%修正至降1.2%。</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12、澳大利亚3月进口环比降5%，预期降5%，前值增12%；出口环比持平，预期增3%，前值持平。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13、瑞士4月CPI同比升2.5%，预期升2.5%，前值升2.4%；环比升0.4%，预期升0.3%，前值升0.6%。</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国际股市</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热门中概股多数下跌，叮咚买菜跌21.62%，亿邦通信跌15.32%，爱奇艺跌13.33%，拼多多跌11.18%，哔哩哔哩跌10.68%，阿里巴巴跌6.65%，京东跌6%，百度跌5.96%。涨幅方面，蘑菇街涨4.07%，博实乐涨3.61%。新能源汽车股全线走低，蔚来汽车跌15.09%，小鹏汽车跌13.51%，理想汽车跌8.14%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2、英国宣布撤销莫斯科证券交易所作为公认交易所的地位，取消针对新投资者的一些税款减免。</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3、伯克希尔哈撒韦的股东以将近9比1的比例投票决定继续让巴菲特担任董事长和首席执行官，伯克希尔通过递补一位独立董事而使董事会的独董人数恢复占据多数，重新符合纽约证券交易所的上市标准。</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4、伯克希尔哈撒韦又购入约590万股西方石油公司股票，总买入金额超过3.3亿美元。收购之后，伯克希尔拥有价值约88亿美元的约1.423亿股西方石油公司股票。</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5、欧盟反垄断主管表示，全球监管部门要密切合作，共同对谷歌、苹果和亚马逊等科技巨头采取措施，以防止他们利用“执法间隙”（enforcement gap）。</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6、最新SEC文件显示，特斯拉CEO马斯克又获得额外约71亿美元的融资承诺，用于资助440亿美元收购推特交易。知情人士称，预计马斯克在收购社交媒体推特之后，将在推特担任几个月的临时CEO。</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7、谷歌硬件主管Rick Osterloh证实，该公司已经收购Micro LED技术创业公司Raxium。消息称谷歌将推出一对高端无线耳机产品，命名为Pixel Buds Pro，意味着谷歌重新挑战苹果和三星主导的高端无线耳机市场。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8、Netflix股东向美国加州一家法院提起诉讼，指控该公司过去几个月在确保付费用户增长方面的说法误导市场，要求Netflix为今年的股价下跌进行赔偿。此前，该公司公布的季度业绩在付费用户数增长方面远差于预期。</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9、东芝将很快开始在中国生产用于数据中心的硬盘驱动器，随着存储需求的增加，计划到2025财年将全球近线产能从2020财年的水平大约翻一番。</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10、宝马集团一季度销售额311.4亿欧元，同比增长16%；净利润为101.85亿欧元，同比大涨259.5%。公司仍然预测全年汽车业务息税前利润率增长7%至9%。</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11、壳牌一季度营收842.04亿美元，同比增长51.27%；归母净利润71.16亿美元，同比增长25.7%；调整后净利润91.3亿美元，同比增长184.38%，创下2008年以来最高季度水平。</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12、博世集团2021年整体销售额达787亿欧元，同比增长10.1%；息税前利润达32亿欧元，同比增长超过50%。博世集团董事会主席史蒂芬•哈通表示，将在未来三年投资约30亿欧元开发电气化和氢能源等相关技术。</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13、俄罗斯卢克石油公司宣布取消上市存托凭证，将在6月6日停止在伦敦证券交易所上市。</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商品</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1、国内商品期货夜盘多数收跌，燃油跌2.73%，LPG跌0.99%，沥青跌0.76%；动力煤跌1.69%，热轧卷板跌1.5%，螺纹钢跌1.34%，焦煤跌1.05%，铁矿石跌1.04%。</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农业农村部副部长邓小刚表示，确保全年粮食产量保持在1.3万亿斤以上是底线任务。当前春季农业生产进展顺利、形势较好。冬小麦面积稳定在3.36亿亩，目前长势已与常年基本相当，夺取夏粮丰收有基础；春播粮食面积9.4亿亩左右，比上年有所增加，目前春播粮食已过四成，进度快于去年。</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据中国物流与采购联合会，4月份中国大宗商品指数（CBMI）为99.7%，指数跌至近五个月以来的最低，表明疫情对市场运行的冲击有所加重，大宗商品市场下行压力较大。各分项指数中，供应指数、销售指数均明显回落，库存指数止跌回升。</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欧佩克+”成员国第28次部长级会议决定，将维持6月石油开采量每日增产43.2万桶的计划。会议重申充分遵守和利用补偿机制的重要性，补偿期将延长至2022年6月底，补偿计划应按照OPEC+成员国第15次部长级会议的声明提交。</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5、知情人士透露，印度正在寻求以低于每桶70美元的价格购买俄罗斯石油，以弥补因购买俄石油遇到的额外障碍而遭受的损失。目前国际基准布伦特原油交易价格接近每桶108美元。</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6、安赛乐米塔尔预计今年全球钢铁消费将萎缩，钢铁需求今年将下滑多达1%，因为俄乌战争拖慢了经济疫后复苏的步伐。</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7、美国至4月29日当周EIA天然气库存增加770亿立方英尺，预期增加680亿立方英尺，前值增加400亿立方英尺。</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8、波罗的海干散货运价指数上涨6.4%，至2644点，为3月15日以来最高水平。</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bookmarkStart w:id="0" w:name="_GoBack"/>
      <w:bookmarkEnd w:id="0"/>
      <w:r>
        <w:rPr>
          <w:rFonts w:hint="eastAsia" w:ascii="仿宋" w:hAnsi="仿宋" w:eastAsia="仿宋" w:cs="仿宋"/>
          <w:b/>
          <w:bCs/>
          <w:sz w:val="24"/>
          <w:szCs w:val="28"/>
        </w:rPr>
        <w:t>债券</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债市综述】五一小长假后首个交易日，现券期货震荡向暖，银行间主要利率债收益率普遍小幅下行；国债期货全线收涨，10年期主力合约涨0.16%；资金宽松银行间主要回购利率普遍下行，隔夜利率微降至1.75%附近；地产债走势分化涨跌不一，“19融信01”涨近7%，“20世茂G2”跌超12%。</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交易商协会近日发布《银行间债券市场非金融企业债务融资工具置换业务指引（试行）》等四项制度，将债券置换和同意征集机制引入银行间债券市场，进一步优化违约及风险处置机制，并明确自律管理措施的实施标准和工作程序。</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3、上海清算所成功支持东方证券完成全球首单欧元“玉兰债”的发行登记，本期债券发行规模1亿欧元，期限3年，票面利率1.75%，发行收益率1.76%，最终定价较初始指导价收窄27bps。</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4、菲律宾财政部国库署发布数据显示，截至3月底，菲律宾的未偿债务攀升至12.68万亿比索，约合人民币1.6万亿元，创历史新高。其中本国债务占69.9%，外债30.1%。</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5、【债券重大事件】阳光城集团已到期未支付债务本金合计金额301.91亿元；“17宜华企业MTN001”未按期足额兑付本息；“19恒大01”和“19恒大02”展期付息议案获通过、“19恒大02”回售金额48.28亿元；标普下调中国宏泰发展长期发行人信用评级至“B-”，展望“稳定”；穆迪撤销川投集团“Baa1”发行人评级、撤销合景泰富集团“Caa1”企业家族评级、撤销山东如意“Caa3”企业家族评级；苏宁易购对“18苏宁03”和“18苏宁07”以现金方式进行全额购回；碧桂园地产董监高成员累计购买公司债券4016.02万元。</w:t>
      </w:r>
    </w:p>
    <w:p>
      <w:pPr>
        <w:spacing w:after="120" w:line="288" w:lineRule="auto"/>
        <w:jc w:val="left"/>
        <w:rPr>
          <w:rFonts w:hint="eastAsia" w:ascii="仿宋" w:hAnsi="仿宋" w:eastAsia="仿宋" w:cs="仿宋"/>
          <w:sz w:val="24"/>
          <w:szCs w:val="28"/>
        </w:rPr>
      </w:pPr>
    </w:p>
    <w:p>
      <w:pPr>
        <w:numPr>
          <w:ilvl w:val="0"/>
          <w:numId w:val="3"/>
        </w:numPr>
        <w:spacing w:after="120" w:line="288" w:lineRule="auto"/>
        <w:ind w:left="420" w:leftChars="0" w:hanging="420" w:firstLineChars="0"/>
        <w:jc w:val="left"/>
        <w:rPr>
          <w:rFonts w:hint="eastAsia" w:ascii="仿宋" w:hAnsi="仿宋" w:eastAsia="仿宋" w:cs="仿宋"/>
          <w:b/>
          <w:bCs/>
          <w:sz w:val="24"/>
          <w:szCs w:val="28"/>
        </w:rPr>
      </w:pPr>
      <w:r>
        <w:rPr>
          <w:rFonts w:hint="eastAsia" w:ascii="仿宋" w:hAnsi="仿宋" w:eastAsia="仿宋" w:cs="仿宋"/>
          <w:b/>
          <w:bCs/>
          <w:sz w:val="24"/>
          <w:szCs w:val="28"/>
        </w:rPr>
        <w:t>外汇</w:t>
      </w: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1、周四人民币兑美元中间价报6.5672，调升505个基点。在岸人民币兑美元16:30收盘报6.6224，较上一交易日跌358个基点；夜盘收报6.6535，较上一交易日夜盘跌445个基点。交易员指出，市场对美联储后续激进式升息的预期降温，但人民币后市仍取决于其内部经济环境，总体走势或相对有序。</w:t>
      </w:r>
    </w:p>
    <w:p>
      <w:pPr>
        <w:spacing w:after="120" w:line="288" w:lineRule="auto"/>
        <w:jc w:val="left"/>
        <w:rPr>
          <w:rFonts w:hint="eastAsia" w:ascii="仿宋" w:hAnsi="仿宋" w:eastAsia="仿宋" w:cs="仿宋"/>
          <w:sz w:val="24"/>
          <w:szCs w:val="28"/>
        </w:rPr>
      </w:pPr>
    </w:p>
    <w:p>
      <w:pPr>
        <w:spacing w:after="120" w:line="288" w:lineRule="auto"/>
        <w:jc w:val="left"/>
        <w:rPr>
          <w:rFonts w:hint="eastAsia" w:ascii="仿宋" w:hAnsi="仿宋" w:eastAsia="仿宋" w:cs="仿宋"/>
          <w:sz w:val="24"/>
          <w:szCs w:val="28"/>
        </w:rPr>
      </w:pPr>
      <w:r>
        <w:rPr>
          <w:rFonts w:hint="eastAsia" w:ascii="仿宋" w:hAnsi="仿宋" w:eastAsia="仿宋" w:cs="仿宋"/>
          <w:sz w:val="24"/>
          <w:szCs w:val="28"/>
        </w:rPr>
        <w:t>2、外汇局强调，要深化跨境投融资便利化改革，便利更多国际资本在我国投资兴业，支持和鼓励我国资本和企业走向世界。推动对平台企业金融活动实施常态化金融监管，促进平台经济规范健康发展。</w:t>
      </w:r>
    </w:p>
    <w:p>
      <w:pPr>
        <w:rPr>
          <w:rFonts w:hint="eastAsia" w:ascii="仿宋" w:hAnsi="仿宋" w:eastAsia="仿宋" w:cs="仿宋"/>
          <w:sz w:val="24"/>
          <w:szCs w:val="28"/>
        </w:rPr>
      </w:pPr>
      <w:r>
        <w:rPr>
          <w:rFonts w:hint="eastAsia" w:ascii="仿宋" w:hAnsi="仿宋" w:eastAsia="仿宋" w:cs="仿宋"/>
          <w:sz w:val="24"/>
          <w:szCs w:val="28"/>
        </w:rPr>
        <w:br w:type="page"/>
      </w:r>
    </w:p>
    <w:p>
      <w:pPr>
        <w:keepNext w:val="0"/>
        <w:keepLines w:val="0"/>
        <w:widowControl/>
        <w:suppressLineNumbers w:val="0"/>
        <w:jc w:val="left"/>
      </w:pPr>
      <w:r>
        <w:rPr>
          <w:rFonts w:ascii="Microsoft YaHei" w:hAnsi="Microsoft YaHei" w:eastAsia="Microsoft YaHei" w:cs="Microsoft YaHei"/>
          <w:b w:val="0"/>
          <w:i w:val="0"/>
          <w:caps w:val="0"/>
          <w:color w:val="000000"/>
          <w:spacing w:val="0"/>
          <w:kern w:val="0"/>
          <w:sz w:val="28"/>
          <w:szCs w:val="28"/>
          <w:u w:val="none"/>
          <w:lang w:val="en-US" w:eastAsia="zh-CN" w:bidi="ar"/>
        </w:rPr>
        <w:drawing>
          <wp:inline distT="0" distB="0" distL="114300" distR="114300">
            <wp:extent cx="5991225" cy="7383780"/>
            <wp:effectExtent l="0" t="0" r="3175" b="762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6"/>
                    <a:stretch>
                      <a:fillRect/>
                    </a:stretch>
                  </pic:blipFill>
                  <pic:spPr>
                    <a:xfrm>
                      <a:off x="0" y="0"/>
                      <a:ext cx="5991225" cy="7383780"/>
                    </a:xfrm>
                    <a:prstGeom prst="rect">
                      <a:avLst/>
                    </a:prstGeom>
                    <a:noFill/>
                    <a:ln w="9525">
                      <a:noFill/>
                    </a:ln>
                  </pic:spPr>
                </pic:pic>
              </a:graphicData>
            </a:graphic>
          </wp:inline>
        </w:drawing>
      </w:r>
    </w:p>
    <w:p>
      <w:pPr>
        <w:rPr>
          <w:rFonts w:hint="eastAsia" w:ascii="仿宋" w:hAnsi="仿宋" w:eastAsia="仿宋" w:cs="仿宋"/>
          <w:sz w:val="24"/>
          <w:szCs w:val="28"/>
        </w:rPr>
      </w:pPr>
      <w:r>
        <w:rPr>
          <w:rFonts w:hint="eastAsia" w:ascii="仿宋" w:hAnsi="仿宋" w:eastAsia="仿宋" w:cs="仿宋"/>
          <w:sz w:val="24"/>
          <w:szCs w:val="28"/>
        </w:rPr>
        <w:br w:type="page"/>
      </w:r>
    </w:p>
    <w:p>
      <w:pPr>
        <w:spacing w:after="120" w:line="288" w:lineRule="auto"/>
        <w:jc w:val="left"/>
        <w:rPr>
          <w:rFonts w:hint="eastAsia" w:ascii="仿宋" w:hAnsi="仿宋" w:eastAsia="仿宋" w:cs="仿宋"/>
          <w:sz w:val="24"/>
          <w:szCs w:val="28"/>
        </w:rPr>
      </w:pP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注：本文资讯内容根据网络，冠通期货编辑整理而成，仅供投资者参考。</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本报告发布机构</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--冠通期货股份有限公司（已获中国证监会许可的期货投资咨询业务资格）</w:t>
      </w:r>
    </w:p>
    <w:p>
      <w:pPr>
        <w:spacing w:after="120" w:line="288" w:lineRule="auto"/>
        <w:jc w:val="left"/>
        <w:rPr>
          <w:rFonts w:ascii="微软雅黑" w:hAnsi="微软雅黑" w:eastAsia="微软雅黑" w:cs="Calibri"/>
          <w:b/>
          <w:iCs/>
          <w:color w:val="1F497D"/>
          <w:sz w:val="22"/>
          <w:szCs w:val="24"/>
        </w:rPr>
      </w:pPr>
      <w:r>
        <w:rPr>
          <w:rFonts w:ascii="微软雅黑" w:hAnsi="微软雅黑" w:eastAsia="微软雅黑" w:cs="Calibri"/>
          <w:b/>
          <w:iCs/>
          <w:color w:val="1F497D"/>
          <w:sz w:val="22"/>
          <w:szCs w:val="24"/>
        </w:rPr>
        <w:t>免责声</w:t>
      </w:r>
      <w:r>
        <w:rPr>
          <w:rFonts w:ascii="微软雅黑" w:hAnsi="微软雅黑" w:eastAsia="微软雅黑" w:cs="Calibri"/>
          <w:b/>
          <w:iCs/>
          <w:color w:val="17365D"/>
          <w:sz w:val="22"/>
          <w:szCs w:val="24"/>
        </w:rPr>
        <w:t>明</w:t>
      </w:r>
      <w:r>
        <w:rPr>
          <w:rFonts w:ascii="微软雅黑" w:hAnsi="微软雅黑" w:eastAsia="微软雅黑" w:cs="Calibri"/>
          <w:b/>
          <w:iCs/>
          <w:color w:val="1F497D"/>
          <w:sz w:val="22"/>
          <w:szCs w:val="24"/>
        </w:rPr>
        <w:t>：</w:t>
      </w:r>
    </w:p>
    <w:p>
      <w:pPr>
        <w:spacing w:after="120" w:line="288" w:lineRule="auto"/>
        <w:jc w:val="left"/>
        <w:rPr>
          <w:rFonts w:ascii="微软雅黑" w:hAnsi="微软雅黑" w:eastAsia="微软雅黑" w:cs="Calibri"/>
          <w:iCs/>
          <w:sz w:val="22"/>
          <w:szCs w:val="24"/>
        </w:rPr>
      </w:pPr>
      <w:r>
        <w:rPr>
          <w:rFonts w:ascii="微软雅黑" w:hAnsi="微软雅黑" w:eastAsia="微软雅黑" w:cs="Calibri"/>
          <w:iCs/>
          <w:sz w:val="22"/>
          <w:szCs w:val="24"/>
        </w:rPr>
        <w:t>本报告中的信息均来源于公开资料，我公司对这些信息的准确性和完整性不作任何保证。报告中的内容和意见仅供参考，并不构成对所述品种买卖的出价或征价。我公司及其雇员对使用本报告及其内容所引发的任何直接或间接损失概不负责。本报告仅向特定客户传送，版权归冠通期货所有。未经我公司书面许可，任何机构和个人均不得以任何形式翻版，复制，引用或转载。如引用、转载、刊发，须注明出处为冠通期货股份有限公司。</w:t>
      </w:r>
    </w:p>
    <w:sectPr>
      <w:headerReference r:id="rId3" w:type="default"/>
      <w:footerReference r:id="rId4" w:type="default"/>
      <w:pgSz w:w="11906" w:h="16838"/>
      <w:pgMar w:top="1440" w:right="1800" w:bottom="1440" w:left="1800"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楷体_GB2312">
    <w:altName w:val="汉仪楷体简"/>
    <w:panose1 w:val="00000000000000000000"/>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旗黑">
    <w:panose1 w:val="00020600040101010101"/>
    <w:charset w:val="86"/>
    <w:family w:val="auto"/>
    <w:pitch w:val="default"/>
    <w:sig w:usb0="A00002BF" w:usb1="1ACF7CFA" w:usb2="00000016" w:usb3="00000000" w:csb0="0004009F" w:csb1="DFD7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Microsoft YaHei">
    <w:altName w:val="汉仪旗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b/>
        <w:color w:val="8DB3E2"/>
      </w:rPr>
    </w:pPr>
    <w:r>
      <w:rPr>
        <w:rFonts w:hint="eastAsia"/>
        <w:b/>
        <w:color w:val="8DB3E2"/>
      </w:rPr>
      <w:t>投资有风险，入市需谨慎。</w:t>
    </w:r>
  </w:p>
  <w:p>
    <w:pPr>
      <w:pStyle w:val="13"/>
      <w:jc w:val="center"/>
    </w:pPr>
    <w:r>
      <w:rPr>
        <w:rFonts w:hint="eastAsia"/>
        <w:b/>
        <w:color w:val="8DB3E2"/>
      </w:rPr>
      <w:t>本公司具备期货投资咨询业务资格，请务必阅读最后一页免责声明。</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pPr w:leftFromText="180" w:rightFromText="180" w:vertAnchor="page" w:horzAnchor="page" w:tblpX="1837" w:tblpY="423"/>
      <w:tblOverlap w:val="never"/>
      <w:tblW w:w="0" w:type="auto"/>
      <w:tblInd w:w="0" w:type="dxa"/>
      <w:tblLayout w:type="fixed"/>
      <w:tblCellMar>
        <w:top w:w="0" w:type="dxa"/>
        <w:left w:w="108" w:type="dxa"/>
        <w:bottom w:w="0" w:type="dxa"/>
        <w:right w:w="108" w:type="dxa"/>
      </w:tblCellMar>
    </w:tblPr>
    <w:tblGrid>
      <w:gridCol w:w="8522"/>
    </w:tblGrid>
    <w:tr>
      <w:tc>
        <w:tcPr>
          <w:tcW w:w="8522" w:type="dxa"/>
        </w:tcPr>
        <w:p>
          <w:pPr>
            <w:rPr>
              <w:sz w:val="28"/>
            </w:rPr>
          </w:pPr>
          <w:r>
            <w:rPr>
              <w:sz w:val="28"/>
            </w:rPr>
            <w:drawing>
              <wp:inline distT="0" distB="0" distL="0" distR="0">
                <wp:extent cx="2514600" cy="466725"/>
                <wp:effectExtent l="0" t="0" r="0" b="9525"/>
                <wp:docPr id="4097" name="图片 5" descr="公司全称"/>
                <wp:cNvGraphicFramePr/>
                <a:graphic xmlns:a="http://schemas.openxmlformats.org/drawingml/2006/main">
                  <a:graphicData uri="http://schemas.openxmlformats.org/drawingml/2006/picture">
                    <pic:pic xmlns:pic="http://schemas.openxmlformats.org/drawingml/2006/picture">
                      <pic:nvPicPr>
                        <pic:cNvPr id="4097" name="图片 5" descr="公司全称"/>
                        <pic:cNvPicPr/>
                      </pic:nvPicPr>
                      <pic:blipFill>
                        <a:blip r:embed="rId1" cstate="print"/>
                        <a:srcRect/>
                        <a:stretch>
                          <a:fillRect/>
                        </a:stretch>
                      </pic:blipFill>
                      <pic:spPr>
                        <a:xfrm>
                          <a:off x="0" y="0"/>
                          <a:ext cx="2514600" cy="466725"/>
                        </a:xfrm>
                        <a:prstGeom prst="rect">
                          <a:avLst/>
                        </a:prstGeom>
                        <a:ln>
                          <a:noFill/>
                        </a:ln>
                      </pic:spPr>
                    </pic:pic>
                  </a:graphicData>
                </a:graphic>
              </wp:inline>
            </w:drawing>
          </w:r>
          <w:r>
            <w:rPr>
              <w:sz w:val="28"/>
            </w:rPr>
            <mc:AlternateContent>
              <mc:Choice Requires="wpg">
                <w:drawing>
                  <wp:anchor distT="0" distB="0" distL="0" distR="0" simplePos="0" relativeHeight="251659264" behindDoc="0" locked="0" layoutInCell="1" allowOverlap="1">
                    <wp:simplePos x="0" y="0"/>
                    <wp:positionH relativeFrom="column">
                      <wp:posOffset>2486025</wp:posOffset>
                    </wp:positionH>
                    <wp:positionV relativeFrom="paragraph">
                      <wp:posOffset>60325</wp:posOffset>
                    </wp:positionV>
                    <wp:extent cx="2867025" cy="424180"/>
                    <wp:effectExtent l="3810" t="4445" r="0" b="0"/>
                    <wp:wrapNone/>
                    <wp:docPr id="4098" name="组合 7"/>
                    <wp:cNvGraphicFramePr/>
                    <a:graphic xmlns:a="http://schemas.openxmlformats.org/drawingml/2006/main">
                      <a:graphicData uri="http://schemas.microsoft.com/office/word/2010/wordprocessingGroup">
                        <wpg:wgp>
                          <wpg:cNvGrpSpPr/>
                          <wpg:grpSpPr>
                            <a:xfrm>
                              <a:off x="0" y="0"/>
                              <a:ext cx="2867025" cy="424180"/>
                              <a:chOff x="0" y="0"/>
                              <a:chExt cx="4515" cy="668"/>
                            </a:xfrm>
                          </wpg:grpSpPr>
                          <wps:wsp>
                            <wps:cNvPr id="1" name="矩形 1"/>
                            <wps:cNvSpPr/>
                            <wps:spPr>
                              <a:xfrm>
                                <a:off x="150" y="525"/>
                                <a:ext cx="4365" cy="143"/>
                              </a:xfrm>
                              <a:prstGeom prst="rect">
                                <a:avLst/>
                              </a:prstGeom>
                              <a:gradFill flip="none" rotWithShape="0">
                                <a:gsLst>
                                  <a:gs pos="0">
                                    <a:srgbClr val="FFFFFF"/>
                                  </a:gs>
                                  <a:gs pos="100000">
                                    <a:srgbClr val="4F81BD"/>
                                  </a:gs>
                                </a:gsLst>
                                <a:lin ang="0" scaled="1"/>
                              </a:gradFill>
                              <a:ln>
                                <a:noFill/>
                              </a:ln>
                            </wps:spPr>
                            <wps:bodyPr/>
                          </wps:wsp>
                          <wps:wsp>
                            <wps:cNvPr id="2" name="矩形 2"/>
                            <wps:cNvSpPr/>
                            <wps:spPr>
                              <a:xfrm>
                                <a:off x="0" y="0"/>
                                <a:ext cx="4290" cy="623"/>
                              </a:xfrm>
                              <a:prstGeom prst="rect">
                                <a:avLst/>
                              </a:prstGeom>
                              <a:solidFill>
                                <a:srgbClr val="FFFFFF">
                                  <a:alpha val="0"/>
                                </a:srgbClr>
                              </a:solidFill>
                              <a:ln>
                                <a:noFill/>
                              </a:ln>
                            </wps:spPr>
                            <wps:txb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wps:txbx>
                            <wps:bodyPr vert="horz" wrap="square" lIns="91440" tIns="45720" rIns="91440" bIns="45720" anchor="t" upright="1">
                              <a:noAutofit/>
                            </wps:bodyPr>
                          </wps:wsp>
                        </wpg:wgp>
                      </a:graphicData>
                    </a:graphic>
                  </wp:anchor>
                </w:drawing>
              </mc:Choice>
              <mc:Fallback>
                <w:pict>
                  <v:group id="组合 7" o:spid="_x0000_s1026" o:spt="203" style="position:absolute;left:0pt;margin-left:195.75pt;margin-top:4.75pt;height:33.4pt;width:225.75pt;z-index:251659264;mso-width-relative:page;mso-height-relative:page;" coordsize="4515,668" o:gfxdata="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FgAA&#10;AGRycy9QSwECFAAUAAAACACHTuJAlRL3rdkAAAAIAQAADwAAAAAAAAABACAAAAA4AAAAZHJzL2Rv&#10;d25yZXYueG1sUEsBAhQAFAAAAAgAh07iQGIkIp7OAgAA1gYAAA4AAAAAAAAAAQAgAAAAPgEAAGRy&#10;cy9lMm9Eb2MueG1sUEsFBgAAAAAGAAYAWQEAAH4GAAAAAA==&#10;">
                    <o:lock v:ext="edit" aspectratio="f"/>
                    <v:rect id="_x0000_s1026" o:spid="_x0000_s1026" o:spt="1" style="position:absolute;left:150;top:525;height:143;width:4365;" fillcolor="#FFFFFF" filled="t" stroked="f" coordsize="21600,21600" o:gfxdata="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aaub27AAAA2gAAAA8AAAAAAAAAAQAgAAAAOAAAAGRycy9kb3ducmV2Lnht&#10;bFBLAQIUABQAAAAIAIdO4kAzLwWeOwAAADkAAAAQAAAAAAAAAAEAIAAAACABAABkcnMvc2hhcGV4&#10;bWwueG1sUEsFBgAAAAAGAAYAWwEAAMoDAAAAAA==&#10;">
                      <v:fill type="gradient" on="t" color2="#4F81BD" angle="90" focus="100%" focussize="0,0"/>
                      <v:stroke on="f"/>
                      <v:imagedata o:title=""/>
                      <o:lock v:ext="edit" aspectratio="f"/>
                    </v:rect>
                    <v:rect id="_x0000_s1026" o:spid="_x0000_s1026" o:spt="1" style="position:absolute;left:0;top:0;height:623;width:4290;" fillcolor="#FFFFFF" filled="t" stroked="f" coordsize="21600,21600" o:gfxdata="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kwfle7AAAA2gAAAA8AAAAAAAAAAQAgAAAAOAAAAGRycy9kb3ducmV2Lnht&#10;bFBLAQIUABQAAAAIAIdO4kAzLwWeOwAAADkAAAAQAAAAAAAAAAEAIAAAACABAABkcnMvc2hhcGV4&#10;bWwueG1sUEsFBgAAAAAGAAYAWwEAAMoDAAAAAA==&#10;">
                      <v:fill on="t" opacity="0f" focussize="0,0"/>
                      <v:stroke on="f"/>
                      <v:imagedata o:title=""/>
                      <o:lock v:ext="edit" aspectratio="f"/>
                      <v:textbox>
                        <w:txbxContent>
                          <w:p>
                            <w:pPr>
                              <w:spacing w:after="0" w:line="200" w:lineRule="exact"/>
                              <w:rPr>
                                <w:rFonts w:ascii="楷体_GB2312" w:eastAsia="楷体_GB2312"/>
                                <w:sz w:val="13"/>
                                <w:szCs w:val="13"/>
                              </w:rPr>
                            </w:pPr>
                            <w:r>
                              <w:rPr>
                                <w:rFonts w:hint="eastAsia" w:ascii="楷体_GB2312" w:eastAsia="楷体_GB2312"/>
                                <w:sz w:val="13"/>
                                <w:szCs w:val="13"/>
                              </w:rPr>
                              <w:t>地址：北京市朝阳区朝阳门外大街甲6号万通中心D座20层（100020）</w:t>
                            </w:r>
                          </w:p>
                          <w:p>
                            <w:pPr>
                              <w:spacing w:after="0" w:line="200" w:lineRule="exact"/>
                              <w:rPr>
                                <w:rFonts w:ascii="楷体_GB2312" w:eastAsia="楷体_GB2312"/>
                                <w:sz w:val="13"/>
                                <w:szCs w:val="13"/>
                              </w:rPr>
                            </w:pPr>
                            <w:r>
                              <w:rPr>
                                <w:rFonts w:hint="eastAsia" w:ascii="楷体_GB2312" w:eastAsia="楷体_GB2312"/>
                                <w:sz w:val="13"/>
                                <w:szCs w:val="13"/>
                              </w:rPr>
                              <w:t>总机：010-8535 6666</w:t>
                            </w:r>
                          </w:p>
                        </w:txbxContent>
                      </v:textbox>
                    </v:rect>
                  </v:group>
                </w:pict>
              </mc:Fallback>
            </mc:AlternateContent>
          </w:r>
        </w:p>
      </w:tc>
    </w:tr>
  </w:tbl>
  <w:p>
    <w:pPr>
      <w:pStyle w:val="14"/>
      <w:jc w:val="left"/>
      <w:rPr>
        <w:rFonts w:hint="eastAsia"/>
        <w:b/>
        <w:i/>
        <w:color w:val="8DB3E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B4C1E"/>
    <w:multiLevelType w:val="multilevel"/>
    <w:tmpl w:val="33BB4C1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27B08E5"/>
    <w:multiLevelType w:val="singleLevel"/>
    <w:tmpl w:val="627B08E5"/>
    <w:lvl w:ilvl="0" w:tentative="0">
      <w:start w:val="1"/>
      <w:numFmt w:val="bullet"/>
      <w:lvlText w:val=""/>
      <w:lvlJc w:val="left"/>
      <w:pPr>
        <w:ind w:left="420" w:leftChars="0" w:hanging="420" w:firstLineChars="0"/>
      </w:pPr>
      <w:rPr>
        <w:rFonts w:hint="default" w:ascii="Wingdings" w:hAnsi="Wingdings"/>
      </w:rPr>
    </w:lvl>
  </w:abstractNum>
  <w:abstractNum w:abstractNumId="2">
    <w:nsid w:val="627B0A57"/>
    <w:multiLevelType w:val="singleLevel"/>
    <w:tmpl w:val="627B0A57"/>
    <w:lvl w:ilvl="0" w:tentative="0">
      <w:start w:val="1"/>
      <w:numFmt w:val="bullet"/>
      <w:lvlText w:val=""/>
      <w:lvlJc w:val="left"/>
      <w:pPr>
        <w:ind w:left="420" w:leftChars="0" w:hanging="420" w:firstLineChars="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val="1"/>
  <w:bordersDoNotSurroundHeader w:val="0"/>
  <w:bordersDoNotSurroundFooter w:val="0"/>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Tk2YjlkNTJiYTBlYTNjZGYyMzJiYjA5MDRjNWQifQ=="/>
  </w:docVars>
  <w:rsids>
    <w:rsidRoot w:val="005152AA"/>
    <w:rsid w:val="000256A8"/>
    <w:rsid w:val="000C318D"/>
    <w:rsid w:val="000E1126"/>
    <w:rsid w:val="00126DF5"/>
    <w:rsid w:val="001703DF"/>
    <w:rsid w:val="00185335"/>
    <w:rsid w:val="001C7A10"/>
    <w:rsid w:val="00265C49"/>
    <w:rsid w:val="002E4659"/>
    <w:rsid w:val="0034732A"/>
    <w:rsid w:val="00365D0F"/>
    <w:rsid w:val="00372BF5"/>
    <w:rsid w:val="003B3775"/>
    <w:rsid w:val="003D0905"/>
    <w:rsid w:val="003D161E"/>
    <w:rsid w:val="00467936"/>
    <w:rsid w:val="004C251D"/>
    <w:rsid w:val="004D60A3"/>
    <w:rsid w:val="005048B4"/>
    <w:rsid w:val="005152AA"/>
    <w:rsid w:val="0070094B"/>
    <w:rsid w:val="00726801"/>
    <w:rsid w:val="007B6A48"/>
    <w:rsid w:val="007C01CD"/>
    <w:rsid w:val="0084255C"/>
    <w:rsid w:val="00846B0B"/>
    <w:rsid w:val="00905A79"/>
    <w:rsid w:val="0093015D"/>
    <w:rsid w:val="00AB4C6E"/>
    <w:rsid w:val="00AC2483"/>
    <w:rsid w:val="00B70033"/>
    <w:rsid w:val="00BB144D"/>
    <w:rsid w:val="00BC2755"/>
    <w:rsid w:val="00C278C7"/>
    <w:rsid w:val="00C623B6"/>
    <w:rsid w:val="00CA05AD"/>
    <w:rsid w:val="00CD1ADD"/>
    <w:rsid w:val="00D03B67"/>
    <w:rsid w:val="00D73B08"/>
    <w:rsid w:val="00DD5AFE"/>
    <w:rsid w:val="00DF4C7F"/>
    <w:rsid w:val="00DF6490"/>
    <w:rsid w:val="00E30089"/>
    <w:rsid w:val="00E426CE"/>
    <w:rsid w:val="00F06A82"/>
    <w:rsid w:val="00F12143"/>
    <w:rsid w:val="00F4613B"/>
    <w:rsid w:val="00F72558"/>
    <w:rsid w:val="00FA7419"/>
    <w:rsid w:val="00FF6D81"/>
    <w:rsid w:val="08855CA2"/>
    <w:rsid w:val="1D482037"/>
    <w:rsid w:val="1D533F46"/>
    <w:rsid w:val="37D77E59"/>
    <w:rsid w:val="67E4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jc w:val="both"/>
    </w:pPr>
    <w:rPr>
      <w:rFonts w:ascii="Calibri" w:hAnsi="Calibri" w:eastAsia="宋体" w:cs="宋体"/>
      <w:lang w:val="en-US" w:eastAsia="zh-CN" w:bidi="ar-SA"/>
    </w:rPr>
  </w:style>
  <w:style w:type="paragraph" w:styleId="2">
    <w:name w:val="heading 1"/>
    <w:basedOn w:val="1"/>
    <w:next w:val="1"/>
    <w:link w:val="28"/>
    <w:qFormat/>
    <w:uiPriority w:val="9"/>
    <w:pPr>
      <w:spacing w:before="300" w:after="40"/>
      <w:jc w:val="left"/>
      <w:outlineLvl w:val="0"/>
    </w:pPr>
    <w:rPr>
      <w:smallCaps/>
      <w:spacing w:val="5"/>
      <w:sz w:val="32"/>
      <w:szCs w:val="32"/>
    </w:rPr>
  </w:style>
  <w:style w:type="paragraph" w:styleId="3">
    <w:name w:val="heading 2"/>
    <w:basedOn w:val="1"/>
    <w:next w:val="1"/>
    <w:link w:val="29"/>
    <w:qFormat/>
    <w:uiPriority w:val="9"/>
    <w:pPr>
      <w:spacing w:before="240" w:after="80"/>
      <w:jc w:val="left"/>
      <w:outlineLvl w:val="1"/>
    </w:pPr>
    <w:rPr>
      <w:smallCaps/>
      <w:spacing w:val="5"/>
      <w:sz w:val="28"/>
      <w:szCs w:val="28"/>
    </w:rPr>
  </w:style>
  <w:style w:type="paragraph" w:styleId="4">
    <w:name w:val="heading 3"/>
    <w:basedOn w:val="1"/>
    <w:next w:val="1"/>
    <w:link w:val="30"/>
    <w:qFormat/>
    <w:uiPriority w:val="9"/>
    <w:pPr>
      <w:spacing w:after="0"/>
      <w:jc w:val="left"/>
      <w:outlineLvl w:val="2"/>
    </w:pPr>
    <w:rPr>
      <w:smallCaps/>
      <w:spacing w:val="5"/>
      <w:sz w:val="24"/>
      <w:szCs w:val="24"/>
    </w:rPr>
  </w:style>
  <w:style w:type="paragraph" w:styleId="5">
    <w:name w:val="heading 4"/>
    <w:basedOn w:val="1"/>
    <w:next w:val="1"/>
    <w:link w:val="31"/>
    <w:qFormat/>
    <w:uiPriority w:val="9"/>
    <w:pPr>
      <w:spacing w:before="240" w:after="0"/>
      <w:jc w:val="left"/>
      <w:outlineLvl w:val="3"/>
    </w:pPr>
    <w:rPr>
      <w:smallCaps/>
      <w:spacing w:val="10"/>
      <w:sz w:val="22"/>
      <w:szCs w:val="22"/>
    </w:rPr>
  </w:style>
  <w:style w:type="paragraph" w:styleId="6">
    <w:name w:val="heading 5"/>
    <w:basedOn w:val="1"/>
    <w:next w:val="1"/>
    <w:link w:val="32"/>
    <w:qFormat/>
    <w:uiPriority w:val="9"/>
    <w:pPr>
      <w:spacing w:before="200" w:after="0"/>
      <w:jc w:val="left"/>
      <w:outlineLvl w:val="4"/>
    </w:pPr>
    <w:rPr>
      <w:smallCaps/>
      <w:color w:val="4381CF"/>
      <w:spacing w:val="10"/>
      <w:sz w:val="22"/>
      <w:szCs w:val="26"/>
    </w:rPr>
  </w:style>
  <w:style w:type="paragraph" w:styleId="7">
    <w:name w:val="heading 6"/>
    <w:basedOn w:val="1"/>
    <w:next w:val="1"/>
    <w:link w:val="33"/>
    <w:qFormat/>
    <w:uiPriority w:val="9"/>
    <w:pPr>
      <w:spacing w:after="0"/>
      <w:jc w:val="left"/>
      <w:outlineLvl w:val="5"/>
    </w:pPr>
    <w:rPr>
      <w:smallCaps/>
      <w:color w:val="8DB3E2"/>
      <w:spacing w:val="5"/>
      <w:sz w:val="22"/>
    </w:rPr>
  </w:style>
  <w:style w:type="paragraph" w:styleId="8">
    <w:name w:val="heading 7"/>
    <w:basedOn w:val="1"/>
    <w:next w:val="1"/>
    <w:link w:val="34"/>
    <w:qFormat/>
    <w:uiPriority w:val="9"/>
    <w:pPr>
      <w:spacing w:after="0"/>
      <w:jc w:val="left"/>
      <w:outlineLvl w:val="6"/>
    </w:pPr>
    <w:rPr>
      <w:b/>
      <w:smallCaps/>
      <w:color w:val="8DB3E2"/>
      <w:spacing w:val="10"/>
    </w:rPr>
  </w:style>
  <w:style w:type="paragraph" w:styleId="9">
    <w:name w:val="heading 8"/>
    <w:basedOn w:val="1"/>
    <w:next w:val="1"/>
    <w:link w:val="35"/>
    <w:qFormat/>
    <w:uiPriority w:val="9"/>
    <w:pPr>
      <w:spacing w:after="0"/>
      <w:jc w:val="left"/>
      <w:outlineLvl w:val="7"/>
    </w:pPr>
    <w:rPr>
      <w:b/>
      <w:i/>
      <w:smallCaps/>
      <w:color w:val="4381CF"/>
    </w:rPr>
  </w:style>
  <w:style w:type="paragraph" w:styleId="10">
    <w:name w:val="heading 9"/>
    <w:basedOn w:val="1"/>
    <w:next w:val="1"/>
    <w:link w:val="36"/>
    <w:qFormat/>
    <w:uiPriority w:val="9"/>
    <w:pPr>
      <w:spacing w:after="0"/>
      <w:jc w:val="left"/>
      <w:outlineLvl w:val="8"/>
    </w:pPr>
    <w:rPr>
      <w:b/>
      <w:i/>
      <w:smallCaps/>
      <w:color w:val="255692"/>
    </w:rPr>
  </w:style>
  <w:style w:type="character" w:default="1" w:styleId="17">
    <w:name w:val="Default Paragraph Font"/>
    <w:unhideWhenUsed/>
    <w:uiPriority w:val="1"/>
  </w:style>
  <w:style w:type="table" w:default="1" w:styleId="20">
    <w:name w:val="Normal Table"/>
    <w:unhideWhenUsed/>
    <w:uiPriority w:val="99"/>
    <w:tblPr>
      <w:tblCellMar>
        <w:top w:w="0" w:type="dxa"/>
        <w:left w:w="108" w:type="dxa"/>
        <w:bottom w:w="0" w:type="dxa"/>
        <w:right w:w="108" w:type="dxa"/>
      </w:tblCellMar>
    </w:tblPr>
  </w:style>
  <w:style w:type="paragraph" w:styleId="11">
    <w:name w:val="caption"/>
    <w:basedOn w:val="1"/>
    <w:next w:val="1"/>
    <w:qFormat/>
    <w:uiPriority w:val="35"/>
    <w:rPr>
      <w:b/>
      <w:bCs/>
      <w:caps/>
      <w:sz w:val="16"/>
      <w:szCs w:val="18"/>
    </w:rPr>
  </w:style>
  <w:style w:type="paragraph" w:styleId="12">
    <w:name w:val="Balloon Text"/>
    <w:basedOn w:val="1"/>
    <w:link w:val="22"/>
    <w:qFormat/>
    <w:uiPriority w:val="99"/>
    <w:rPr>
      <w:sz w:val="18"/>
      <w:szCs w:val="18"/>
    </w:rPr>
  </w:style>
  <w:style w:type="paragraph" w:styleId="13">
    <w:name w:val="footer"/>
    <w:basedOn w:val="1"/>
    <w:link w:val="24"/>
    <w:qFormat/>
    <w:uiPriority w:val="99"/>
    <w:pPr>
      <w:tabs>
        <w:tab w:val="center" w:pos="4153"/>
        <w:tab w:val="right" w:pos="8306"/>
      </w:tabs>
      <w:snapToGrid w:val="0"/>
    </w:pPr>
    <w:rPr>
      <w:sz w:val="18"/>
      <w:szCs w:val="18"/>
    </w:rPr>
  </w:style>
  <w:style w:type="paragraph" w:styleId="1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720" w:line="240" w:lineRule="auto"/>
      <w:jc w:val="right"/>
    </w:pPr>
    <w:rPr>
      <w:rFonts w:ascii="Cambria" w:hAnsi="Cambria"/>
      <w:szCs w:val="22"/>
    </w:rPr>
  </w:style>
  <w:style w:type="paragraph" w:styleId="16">
    <w:name w:val="Title"/>
    <w:basedOn w:val="1"/>
    <w:next w:val="1"/>
    <w:link w:val="27"/>
    <w:qFormat/>
    <w:uiPriority w:val="10"/>
    <w:pPr>
      <w:pBdr>
        <w:top w:val="single" w:color="8DB3E2" w:sz="12" w:space="1"/>
      </w:pBdr>
      <w:spacing w:line="240" w:lineRule="auto"/>
      <w:jc w:val="right"/>
    </w:pPr>
    <w:rPr>
      <w:smallCaps/>
      <w:sz w:val="48"/>
      <w:szCs w:val="48"/>
    </w:rPr>
  </w:style>
  <w:style w:type="character" w:styleId="18">
    <w:name w:val="Strong"/>
    <w:qFormat/>
    <w:uiPriority w:val="22"/>
    <w:rPr>
      <w:b/>
      <w:color w:val="8DB3E2"/>
    </w:rPr>
  </w:style>
  <w:style w:type="character" w:styleId="19">
    <w:name w:val="Emphasis"/>
    <w:qFormat/>
    <w:uiPriority w:val="20"/>
    <w:rPr>
      <w:b/>
      <w:i/>
      <w:spacing w:val="10"/>
    </w:rPr>
  </w:style>
  <w:style w:type="paragraph" w:customStyle="1" w:styleId="21">
    <w:name w:val="List Paragraph"/>
    <w:basedOn w:val="1"/>
    <w:qFormat/>
    <w:uiPriority w:val="34"/>
    <w:pPr>
      <w:ind w:left="720"/>
      <w:contextualSpacing/>
    </w:pPr>
  </w:style>
  <w:style w:type="character" w:customStyle="1" w:styleId="22">
    <w:name w:val="批注框文本 字符"/>
    <w:basedOn w:val="17"/>
    <w:link w:val="12"/>
    <w:qFormat/>
    <w:uiPriority w:val="99"/>
    <w:rPr>
      <w:sz w:val="18"/>
      <w:szCs w:val="18"/>
    </w:rPr>
  </w:style>
  <w:style w:type="character" w:customStyle="1" w:styleId="23">
    <w:name w:val="页眉 字符"/>
    <w:basedOn w:val="17"/>
    <w:link w:val="14"/>
    <w:qFormat/>
    <w:uiPriority w:val="99"/>
    <w:rPr>
      <w:sz w:val="18"/>
      <w:szCs w:val="18"/>
    </w:rPr>
  </w:style>
  <w:style w:type="character" w:customStyle="1" w:styleId="24">
    <w:name w:val="页脚 字符"/>
    <w:basedOn w:val="17"/>
    <w:link w:val="13"/>
    <w:qFormat/>
    <w:uiPriority w:val="99"/>
    <w:rPr>
      <w:sz w:val="18"/>
      <w:szCs w:val="18"/>
    </w:rPr>
  </w:style>
  <w:style w:type="paragraph" w:customStyle="1" w:styleId="25">
    <w:name w:val="Quote"/>
    <w:basedOn w:val="1"/>
    <w:next w:val="1"/>
    <w:link w:val="26"/>
    <w:qFormat/>
    <w:uiPriority w:val="29"/>
    <w:rPr>
      <w:i/>
    </w:rPr>
  </w:style>
  <w:style w:type="character" w:customStyle="1" w:styleId="26">
    <w:name w:val="引用 字符"/>
    <w:basedOn w:val="17"/>
    <w:link w:val="25"/>
    <w:qFormat/>
    <w:uiPriority w:val="29"/>
    <w:rPr>
      <w:i/>
    </w:rPr>
  </w:style>
  <w:style w:type="character" w:customStyle="1" w:styleId="27">
    <w:name w:val="标题 字符"/>
    <w:basedOn w:val="17"/>
    <w:link w:val="16"/>
    <w:qFormat/>
    <w:uiPriority w:val="10"/>
    <w:rPr>
      <w:smallCaps/>
      <w:sz w:val="48"/>
      <w:szCs w:val="48"/>
    </w:rPr>
  </w:style>
  <w:style w:type="character" w:customStyle="1" w:styleId="28">
    <w:name w:val="标题 1 字符"/>
    <w:basedOn w:val="17"/>
    <w:link w:val="2"/>
    <w:qFormat/>
    <w:uiPriority w:val="9"/>
    <w:rPr>
      <w:smallCaps/>
      <w:spacing w:val="5"/>
      <w:sz w:val="32"/>
      <w:szCs w:val="32"/>
    </w:rPr>
  </w:style>
  <w:style w:type="character" w:customStyle="1" w:styleId="29">
    <w:name w:val="标题 2 字符"/>
    <w:basedOn w:val="17"/>
    <w:link w:val="3"/>
    <w:qFormat/>
    <w:uiPriority w:val="9"/>
    <w:rPr>
      <w:smallCaps/>
      <w:spacing w:val="5"/>
      <w:sz w:val="28"/>
      <w:szCs w:val="28"/>
    </w:rPr>
  </w:style>
  <w:style w:type="character" w:customStyle="1" w:styleId="30">
    <w:name w:val="标题 3 字符"/>
    <w:basedOn w:val="17"/>
    <w:link w:val="4"/>
    <w:qFormat/>
    <w:uiPriority w:val="9"/>
    <w:rPr>
      <w:smallCaps/>
      <w:spacing w:val="5"/>
      <w:sz w:val="24"/>
      <w:szCs w:val="24"/>
    </w:rPr>
  </w:style>
  <w:style w:type="character" w:customStyle="1" w:styleId="31">
    <w:name w:val="标题 4 字符"/>
    <w:basedOn w:val="17"/>
    <w:link w:val="5"/>
    <w:qFormat/>
    <w:uiPriority w:val="9"/>
    <w:rPr>
      <w:smallCaps/>
      <w:spacing w:val="10"/>
      <w:sz w:val="22"/>
      <w:szCs w:val="22"/>
    </w:rPr>
  </w:style>
  <w:style w:type="character" w:customStyle="1" w:styleId="32">
    <w:name w:val="标题 5 字符"/>
    <w:basedOn w:val="17"/>
    <w:link w:val="6"/>
    <w:qFormat/>
    <w:uiPriority w:val="9"/>
    <w:rPr>
      <w:smallCaps/>
      <w:color w:val="4381CF"/>
      <w:spacing w:val="10"/>
      <w:sz w:val="22"/>
      <w:szCs w:val="26"/>
    </w:rPr>
  </w:style>
  <w:style w:type="character" w:customStyle="1" w:styleId="33">
    <w:name w:val="标题 6 字符"/>
    <w:basedOn w:val="17"/>
    <w:link w:val="7"/>
    <w:qFormat/>
    <w:uiPriority w:val="9"/>
    <w:rPr>
      <w:smallCaps/>
      <w:color w:val="8DB3E2"/>
      <w:spacing w:val="5"/>
      <w:sz w:val="22"/>
    </w:rPr>
  </w:style>
  <w:style w:type="character" w:customStyle="1" w:styleId="34">
    <w:name w:val="标题 7 字符"/>
    <w:basedOn w:val="17"/>
    <w:link w:val="8"/>
    <w:qFormat/>
    <w:uiPriority w:val="9"/>
    <w:rPr>
      <w:b/>
      <w:smallCaps/>
      <w:color w:val="8DB3E2"/>
      <w:spacing w:val="10"/>
    </w:rPr>
  </w:style>
  <w:style w:type="character" w:customStyle="1" w:styleId="35">
    <w:name w:val="标题 8 字符"/>
    <w:basedOn w:val="17"/>
    <w:link w:val="9"/>
    <w:qFormat/>
    <w:uiPriority w:val="9"/>
    <w:rPr>
      <w:b/>
      <w:i/>
      <w:smallCaps/>
      <w:color w:val="4381CF"/>
    </w:rPr>
  </w:style>
  <w:style w:type="character" w:customStyle="1" w:styleId="36">
    <w:name w:val="标题 9 字符"/>
    <w:basedOn w:val="17"/>
    <w:link w:val="10"/>
    <w:qFormat/>
    <w:uiPriority w:val="9"/>
    <w:rPr>
      <w:b/>
      <w:i/>
      <w:smallCaps/>
      <w:color w:val="255692"/>
    </w:rPr>
  </w:style>
  <w:style w:type="character" w:customStyle="1" w:styleId="37">
    <w:name w:val="副标题 字符"/>
    <w:basedOn w:val="17"/>
    <w:link w:val="15"/>
    <w:qFormat/>
    <w:uiPriority w:val="11"/>
    <w:rPr>
      <w:rFonts w:ascii="Cambria" w:hAnsi="Cambria" w:eastAsia="宋体" w:cs="宋体"/>
      <w:szCs w:val="22"/>
    </w:rPr>
  </w:style>
  <w:style w:type="paragraph" w:customStyle="1" w:styleId="38">
    <w:name w:val="No Spacing"/>
    <w:basedOn w:val="1"/>
    <w:link w:val="48"/>
    <w:qFormat/>
    <w:uiPriority w:val="1"/>
    <w:pPr>
      <w:spacing w:after="0" w:line="240" w:lineRule="auto"/>
    </w:pPr>
  </w:style>
  <w:style w:type="paragraph" w:customStyle="1" w:styleId="39">
    <w:name w:val="Intense Quote"/>
    <w:basedOn w:val="1"/>
    <w:next w:val="1"/>
    <w:link w:val="40"/>
    <w:qFormat/>
    <w:uiPriority w:val="30"/>
    <w:pPr>
      <w:pBdr>
        <w:top w:val="single" w:color="4381CF" w:sz="8" w:space="10"/>
        <w:left w:val="single" w:color="4381CF" w:sz="8" w:space="10"/>
        <w:bottom w:val="single" w:color="4381CF" w:sz="8" w:space="10"/>
        <w:right w:val="single" w:color="4381CF" w:sz="8" w:space="10"/>
      </w:pBdr>
      <w:shd w:val="clear" w:color="auto" w:fill="8DB3E2"/>
      <w:spacing w:before="140" w:after="140"/>
      <w:ind w:left="1440" w:right="1440"/>
    </w:pPr>
    <w:rPr>
      <w:b/>
      <w:i/>
      <w:color w:val="112845"/>
    </w:rPr>
  </w:style>
  <w:style w:type="character" w:customStyle="1" w:styleId="40">
    <w:name w:val="明显引用 字符"/>
    <w:basedOn w:val="17"/>
    <w:link w:val="39"/>
    <w:qFormat/>
    <w:uiPriority w:val="30"/>
    <w:rPr>
      <w:b/>
      <w:i/>
      <w:color w:val="112845"/>
      <w:shd w:val="clear" w:color="auto" w:fill="8DB3E2"/>
    </w:rPr>
  </w:style>
  <w:style w:type="character" w:customStyle="1" w:styleId="41">
    <w:name w:val="不明显强调1"/>
    <w:qFormat/>
    <w:uiPriority w:val="19"/>
    <w:rPr>
      <w:rFonts w:ascii="Cambria" w:hAnsi="Cambria" w:eastAsia="宋体" w:cs="宋体"/>
      <w:i/>
      <w:iCs/>
      <w:color w:val="8DB3E2"/>
    </w:rPr>
  </w:style>
  <w:style w:type="character" w:customStyle="1" w:styleId="42">
    <w:name w:val="明显强调1"/>
    <w:qFormat/>
    <w:uiPriority w:val="21"/>
    <w:rPr>
      <w:rFonts w:ascii="Cambria" w:hAnsi="Cambria" w:eastAsia="宋体" w:cs="宋体"/>
      <w:b/>
      <w:bCs/>
      <w:i/>
      <w:iCs/>
      <w:color w:val="112845"/>
      <w:bdr w:val="single" w:color="8DB3E2" w:sz="18" w:space="0"/>
      <w:shd w:val="clear" w:color="auto" w:fill="8DB3E2"/>
      <w:vertAlign w:val="baseline"/>
    </w:rPr>
  </w:style>
  <w:style w:type="character" w:customStyle="1" w:styleId="43">
    <w:name w:val="不明显参考1"/>
    <w:qFormat/>
    <w:uiPriority w:val="31"/>
    <w:rPr>
      <w:i/>
      <w:iCs/>
      <w:smallCaps/>
      <w:color w:val="8DB3E2"/>
      <w:u w:color="8DB3E2"/>
    </w:rPr>
  </w:style>
  <w:style w:type="character" w:customStyle="1" w:styleId="44">
    <w:name w:val="明显参考1"/>
    <w:qFormat/>
    <w:uiPriority w:val="32"/>
    <w:rPr>
      <w:b/>
      <w:bCs/>
      <w:i/>
      <w:iCs/>
      <w:smallCaps/>
      <w:color w:val="8DB3E2"/>
      <w:u w:color="8DB3E2"/>
    </w:rPr>
  </w:style>
  <w:style w:type="character" w:customStyle="1" w:styleId="45">
    <w:name w:val="书籍标题1"/>
    <w:qFormat/>
    <w:uiPriority w:val="33"/>
    <w:rPr>
      <w:rFonts w:ascii="Cambria" w:hAnsi="Cambria" w:eastAsia="宋体" w:cs="宋体"/>
      <w:b/>
      <w:bCs/>
      <w:i/>
      <w:iCs/>
      <w:smallCaps/>
      <w:color w:val="4381CF"/>
      <w:u w:val="single"/>
    </w:rPr>
  </w:style>
  <w:style w:type="paragraph" w:customStyle="1" w:styleId="46">
    <w:name w:val="TOC 标题1"/>
    <w:basedOn w:val="2"/>
    <w:next w:val="1"/>
    <w:qFormat/>
    <w:uiPriority w:val="39"/>
    <w:pPr>
      <w:outlineLvl w:val="9"/>
    </w:pPr>
    <w:rPr>
      <w:lang w:bidi="en-US"/>
    </w:rPr>
  </w:style>
  <w:style w:type="paragraph" w:customStyle="1" w:styleId="47">
    <w:name w:val="Default"/>
    <w:qFormat/>
    <w:uiPriority w:val="0"/>
    <w:pPr>
      <w:widowControl w:val="0"/>
      <w:autoSpaceDE w:val="0"/>
      <w:autoSpaceDN w:val="0"/>
      <w:adjustRightInd w:val="0"/>
      <w:spacing w:after="200" w:line="276" w:lineRule="auto"/>
      <w:jc w:val="both"/>
    </w:pPr>
    <w:rPr>
      <w:rFonts w:ascii="楷体_GB2312" w:hAnsi="Times New Roman" w:eastAsia="楷体_GB2312" w:cs="楷体_GB2312"/>
      <w:color w:val="000000"/>
      <w:sz w:val="24"/>
      <w:szCs w:val="24"/>
      <w:lang w:val="en-US" w:eastAsia="zh-CN" w:bidi="ar-SA"/>
    </w:rPr>
  </w:style>
  <w:style w:type="character" w:customStyle="1" w:styleId="48">
    <w:name w:val="无间隔 字符"/>
    <w:basedOn w:val="17"/>
    <w:link w:val="38"/>
    <w:qFormat/>
    <w:uiPriority w:val="1"/>
  </w:style>
  <w:style w:type="character" w:customStyle="1" w:styleId="49">
    <w:name w:val="不明显强调2"/>
    <w:qFormat/>
    <w:uiPriority w:val="19"/>
    <w:rPr>
      <w:i/>
    </w:rPr>
  </w:style>
  <w:style w:type="character" w:customStyle="1" w:styleId="50">
    <w:name w:val="明显强调2"/>
    <w:qFormat/>
    <w:uiPriority w:val="21"/>
    <w:rPr>
      <w:b/>
      <w:i/>
      <w:color w:val="8DB3E2"/>
      <w:spacing w:val="10"/>
    </w:rPr>
  </w:style>
  <w:style w:type="character" w:customStyle="1" w:styleId="51">
    <w:name w:val="不明显参考2"/>
    <w:qFormat/>
    <w:uiPriority w:val="31"/>
    <w:rPr>
      <w:b/>
    </w:rPr>
  </w:style>
  <w:style w:type="character" w:customStyle="1" w:styleId="52">
    <w:name w:val="明显参考2"/>
    <w:qFormat/>
    <w:uiPriority w:val="32"/>
    <w:rPr>
      <w:b/>
      <w:bCs/>
      <w:smallCaps/>
      <w:spacing w:val="5"/>
      <w:sz w:val="22"/>
      <w:szCs w:val="22"/>
      <w:u w:val="single"/>
    </w:rPr>
  </w:style>
  <w:style w:type="character" w:customStyle="1" w:styleId="53">
    <w:name w:val="书籍标题2"/>
    <w:qFormat/>
    <w:uiPriority w:val="33"/>
    <w:rPr>
      <w:rFonts w:ascii="Cambria" w:hAnsi="Cambria" w:eastAsia="宋体" w:cs="宋体"/>
      <w:i/>
      <w:iCs/>
      <w:sz w:val="20"/>
      <w:szCs w:val="20"/>
    </w:rPr>
  </w:style>
  <w:style w:type="paragraph" w:customStyle="1" w:styleId="54">
    <w:name w:val="TOC 标题2"/>
    <w:basedOn w:val="2"/>
    <w:next w:val="1"/>
    <w:qFormat/>
    <w:uiPriority w:val="39"/>
    <w:pPr>
      <w:outlineLvl w:val="9"/>
    </w:pPr>
    <w:rPr>
      <w:lang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1495</Words>
  <Characters>8524</Characters>
  <Lines>71</Lines>
  <Paragraphs>19</Paragraphs>
  <TotalTime>0</TotalTime>
  <ScaleCrop>false</ScaleCrop>
  <LinksUpToDate>false</LinksUpToDate>
  <CharactersWithSpaces>10000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2022-05-06T09:31:00Z</dcterms:created>
  <dc:creator>Administrator</dc:creator>
  <cp:lastModifiedBy>apple</cp:lastModifiedBy>
  <cp:lastPrinted>2022-05-06T09:36:00Z</cp:lastPrinted>
  <dcterms:modified xsi:type="dcterms:W3CDTF">2022-05-11T08:31:48Z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6AE49900DFE14699A5EB523DCE831BAB</vt:lpwstr>
  </property>
</Properties>
</file>