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1"/>
        <w:rPr>
          <w:rFonts w:ascii="仿宋" w:hAnsi="仿宋" w:eastAsia="仿宋" w:cs="Times New Roman"/>
          <w:b/>
          <w:sz w:val="27"/>
          <w:szCs w:val="27"/>
        </w:rPr>
      </w:pPr>
      <w:bookmarkStart w:id="0" w:name="OLE_LINK3"/>
      <w:bookmarkStart w:id="1" w:name="OLE_LINK4"/>
      <w:bookmarkStart w:id="2" w:name="OLE_LINK1"/>
      <w:bookmarkStart w:id="3" w:name="OLE_LINK2"/>
      <w:bookmarkStart w:id="4" w:name="OLE_LINK5"/>
      <w:r>
        <w:rPr>
          <w:rFonts w:hint="eastAsia" w:ascii="仿宋" w:hAnsi="仿宋" w:eastAsia="仿宋" w:cs="宋体"/>
          <w:b/>
          <w:color w:val="333333"/>
          <w:spacing w:val="8"/>
          <w:kern w:val="0"/>
          <w:sz w:val="27"/>
          <w:szCs w:val="27"/>
        </w:rPr>
        <w:t>【冠通研究】</w:t>
      </w:r>
    </w:p>
    <w:p>
      <w:pPr>
        <w:widowControl/>
        <w:shd w:val="clear" w:color="auto" w:fill="FFFFFF"/>
        <w:spacing w:after="210"/>
        <w:jc w:val="center"/>
        <w:outlineLvl w:val="1"/>
        <w:rPr>
          <w:rFonts w:hint="default" w:ascii="仿宋" w:hAnsi="仿宋" w:eastAsia="仿宋"/>
          <w:b/>
          <w:spacing w:val="15"/>
          <w:kern w:val="0"/>
          <w:sz w:val="24"/>
          <w:szCs w:val="24"/>
          <w:shd w:val="clear" w:color="auto" w:fill="FFFFFF"/>
          <w:lang w:val="en-US" w:eastAsia="zh-CN"/>
        </w:rPr>
      </w:pPr>
      <w:r>
        <w:rPr>
          <w:rFonts w:hint="eastAsia" w:ascii="仿宋" w:hAnsi="仿宋" w:eastAsia="仿宋"/>
          <w:b/>
          <w:spacing w:val="15"/>
          <w:kern w:val="0"/>
          <w:sz w:val="24"/>
          <w:szCs w:val="24"/>
          <w:shd w:val="clear" w:color="auto" w:fill="FFFFFF"/>
          <w:lang w:val="en-US" w:eastAsia="zh-CN"/>
        </w:rPr>
        <w:t xml:space="preserve">价格低位略有反复   </w:t>
      </w:r>
    </w:p>
    <w:p>
      <w:pPr>
        <w:widowControl/>
        <w:shd w:val="clear" w:color="auto" w:fill="FFFFFF"/>
        <w:spacing w:after="210"/>
        <w:ind w:firstLine="420"/>
        <w:jc w:val="right"/>
        <w:outlineLvl w:val="1"/>
        <w:rPr>
          <w:rFonts w:ascii="仿宋" w:hAnsi="仿宋" w:eastAsia="仿宋" w:cs="楷体"/>
          <w:sz w:val="24"/>
        </w:rPr>
      </w:pPr>
      <w:bookmarkStart w:id="5" w:name="_GoBack"/>
      <w:bookmarkEnd w:id="5"/>
      <w:r>
        <w:rPr>
          <w:rFonts w:hint="eastAsia" w:ascii="仿宋" w:hAnsi="仿宋" w:eastAsia="仿宋" w:cs="楷体"/>
          <w:sz w:val="24"/>
        </w:rPr>
        <w:t>制作日期：</w:t>
      </w:r>
      <w:r>
        <w:rPr>
          <w:rFonts w:hint="eastAsia" w:ascii="仿宋" w:hAnsi="仿宋" w:eastAsia="仿宋" w:cs="楷体"/>
          <w:sz w:val="24"/>
          <w:lang w:eastAsia="zh-CN"/>
        </w:rPr>
        <w:fldChar w:fldCharType="begin"/>
      </w:r>
      <w:r>
        <w:rPr>
          <w:rFonts w:hint="eastAsia" w:ascii="仿宋" w:hAnsi="仿宋" w:eastAsia="仿宋" w:cs="楷体"/>
          <w:sz w:val="24"/>
          <w:lang w:eastAsia="zh-CN"/>
        </w:rPr>
        <w:instrText xml:space="preserve">Time \@ "yyyy年M月d日"</w:instrText>
      </w:r>
      <w:r>
        <w:rPr>
          <w:rFonts w:hint="eastAsia" w:ascii="仿宋" w:hAnsi="仿宋" w:eastAsia="仿宋" w:cs="楷体"/>
          <w:sz w:val="24"/>
          <w:lang w:eastAsia="zh-CN"/>
        </w:rPr>
        <w:fldChar w:fldCharType="separate"/>
      </w:r>
      <w:r>
        <w:rPr>
          <w:rFonts w:hint="eastAsia" w:ascii="仿宋" w:hAnsi="仿宋" w:eastAsia="仿宋" w:cs="楷体"/>
          <w:sz w:val="24"/>
          <w:lang w:eastAsia="zh-CN"/>
        </w:rPr>
        <w:t>2023年11月23日</w:t>
      </w:r>
      <w:r>
        <w:rPr>
          <w:rFonts w:hint="eastAsia" w:ascii="仿宋" w:hAnsi="仿宋" w:eastAsia="仿宋" w:cs="楷体"/>
          <w:sz w:val="24"/>
          <w:lang w:eastAsia="zh-CN"/>
        </w:rPr>
        <w:fldChar w:fldCharType="end"/>
      </w:r>
      <w:r>
        <w:rPr>
          <w:rFonts w:ascii="仿宋" w:hAnsi="仿宋" w:eastAsia="仿宋" w:cs="楷体"/>
          <w:sz w:val="24"/>
        </w:rPr>
        <w:t xml:space="preserve"> </w:t>
      </w:r>
    </w:p>
    <w:p>
      <w:pPr>
        <w:widowControl/>
        <w:shd w:val="clear" w:color="auto" w:fill="FFFFFF"/>
        <w:spacing w:after="210" w:line="360" w:lineRule="auto"/>
        <w:ind w:firstLine="422" w:firstLineChars="200"/>
        <w:jc w:val="left"/>
        <w:outlineLvl w:val="1"/>
        <w:rPr>
          <w:rFonts w:ascii="仿宋" w:hAnsi="仿宋" w:eastAsia="仿宋"/>
          <w:b/>
          <w:szCs w:val="21"/>
        </w:rPr>
      </w:pPr>
      <w:r>
        <w:rPr>
          <w:rFonts w:hint="eastAsia" w:ascii="仿宋" w:hAnsi="仿宋" w:eastAsia="仿宋"/>
          <w:b/>
          <w:szCs w:val="21"/>
        </w:rPr>
        <w:t>【策略分析】</w:t>
      </w:r>
    </w:p>
    <w:p>
      <w:pPr>
        <w:widowControl/>
        <w:shd w:val="clear" w:color="auto" w:fill="FFFFFF"/>
        <w:spacing w:after="210" w:line="360" w:lineRule="auto"/>
        <w:ind w:firstLine="420" w:firstLineChars="200"/>
        <w:jc w:val="left"/>
        <w:outlineLvl w:val="1"/>
        <w:rPr>
          <w:rFonts w:hint="eastAsia" w:ascii="仿宋" w:hAnsi="仿宋" w:eastAsia="仿宋"/>
          <w:lang w:val="en-US" w:eastAsia="zh-CN"/>
        </w:rPr>
      </w:pPr>
      <w:r>
        <w:rPr>
          <w:rFonts w:hint="eastAsia" w:ascii="仿宋" w:hAnsi="仿宋" w:eastAsia="仿宋"/>
          <w:lang w:val="en-US" w:eastAsia="zh-CN"/>
        </w:rPr>
        <w:t>前期随着PTA加工费好转，企业复产计划增加，宁波逸盛4号线220万吨装置已重启，海南250万吨PTA新装置其中的125万吨装置预计近期提负，后续还有新增产能投产，近期PTA开工率有明显提升，整体供应端宽松压力依然较大，不过，本周聚酯开工率止跌震荡，需求端表现尚可，叠加上游原材料表现相对坚挺，加工费再度走低，支撑了PTA价格有所反复。但是，聚酯利润低迷，短纤以及长丝利润均处于往年同期偏低水平，虽然促销之下，短纤以及长丝的库存并未进一步增长，但也依然处于偏高水平，后续纺织需求淡季到来，采购订单需求减弱，聚酯终端需求也难有支撑。</w:t>
      </w:r>
    </w:p>
    <w:p>
      <w:pPr>
        <w:widowControl/>
        <w:shd w:val="clear" w:color="auto" w:fill="FFFFFF"/>
        <w:spacing w:after="210" w:line="360" w:lineRule="auto"/>
        <w:ind w:firstLine="420" w:firstLineChars="200"/>
        <w:jc w:val="left"/>
        <w:outlineLvl w:val="1"/>
        <w:rPr>
          <w:rFonts w:hint="default" w:ascii="仿宋" w:hAnsi="仿宋" w:eastAsia="仿宋"/>
          <w:lang w:val="en-US" w:eastAsia="zh-CN"/>
        </w:rPr>
      </w:pPr>
      <w:r>
        <w:rPr>
          <w:rFonts w:hint="eastAsia" w:ascii="仿宋" w:hAnsi="仿宋" w:eastAsia="仿宋"/>
          <w:lang w:val="en-US" w:eastAsia="zh-CN"/>
        </w:rPr>
        <w:t>综合来看，低加工费收窄，需求短期暂稳，PTA期价跟随上游原材料有所反复，不过，中期供应好转，需求终端疲软，价格反弹动力有限，暂时处于前期震荡区间整理。关注原油价格等待欧佩克+会议的最终局面，短期价格波动幅度较大。</w:t>
      </w:r>
    </w:p>
    <w:p>
      <w:pPr>
        <w:widowControl/>
        <w:shd w:val="clear" w:color="auto" w:fill="FFFFFF"/>
        <w:spacing w:after="210" w:line="360" w:lineRule="auto"/>
        <w:ind w:firstLine="422" w:firstLineChars="200"/>
        <w:jc w:val="left"/>
        <w:outlineLvl w:val="1"/>
        <w:rPr>
          <w:rFonts w:ascii="仿宋" w:hAnsi="仿宋" w:eastAsia="仿宋"/>
          <w:b/>
          <w:szCs w:val="21"/>
        </w:rPr>
      </w:pPr>
      <w:r>
        <w:rPr>
          <w:rFonts w:hint="eastAsia" w:ascii="仿宋" w:hAnsi="仿宋" w:eastAsia="仿宋"/>
          <w:b/>
          <w:szCs w:val="21"/>
        </w:rPr>
        <w:t>【期现行情】</w:t>
      </w:r>
    </w:p>
    <w:p>
      <w:pPr>
        <w:widowControl/>
        <w:shd w:val="clear" w:color="auto" w:fill="FFFFFF"/>
        <w:spacing w:after="210" w:line="360" w:lineRule="auto"/>
        <w:ind w:firstLine="420" w:firstLineChars="200"/>
        <w:jc w:val="left"/>
        <w:outlineLvl w:val="1"/>
        <w:rPr>
          <w:rFonts w:hint="default" w:ascii="仿宋" w:hAnsi="仿宋" w:eastAsia="仿宋"/>
          <w:lang w:val="en-US" w:eastAsia="zh-CN"/>
        </w:rPr>
      </w:pPr>
      <w:r>
        <w:rPr>
          <w:rFonts w:hint="eastAsia" w:ascii="仿宋" w:hAnsi="仿宋" w:eastAsia="仿宋"/>
        </w:rPr>
        <w:t>期货方面：</w:t>
      </w:r>
      <w:r>
        <w:rPr>
          <w:rFonts w:hint="eastAsia" w:ascii="仿宋" w:hAnsi="仿宋" w:eastAsia="仿宋"/>
          <w:lang w:val="en-US" w:eastAsia="zh-CN"/>
        </w:rPr>
        <w:t>受到原油市场大幅波动影响，PTA期价跳空低开，不过开盘后并未继续下探，最低回踩5740元/吨后震荡反复，最高试探5814元/吨，不过尾盘报收于5774元/吨，呈现一根带较长上影线的小阳线，成交量持仓量继续减持，反弹稍显乏力。</w:t>
      </w:r>
    </w:p>
    <w:p>
      <w:pPr>
        <w:widowControl/>
        <w:shd w:val="clear" w:color="auto" w:fill="FFFFFF"/>
        <w:spacing w:after="210" w:line="360" w:lineRule="auto"/>
        <w:ind w:firstLine="420" w:firstLineChars="200"/>
        <w:jc w:val="left"/>
        <w:outlineLvl w:val="1"/>
        <w:rPr>
          <w:rFonts w:hint="default" w:ascii="仿宋" w:hAnsi="仿宋" w:eastAsia="仿宋"/>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1"/>
        <w:rPr>
          <w:rFonts w:hint="eastAsia" w:ascii="仿宋" w:hAnsi="仿宋" w:eastAsia="仿宋"/>
          <w:bCs/>
          <w:szCs w:val="21"/>
        </w:rPr>
      </w:pPr>
      <w:r>
        <w:drawing>
          <wp:inline distT="0" distB="0" distL="114300" distR="114300">
            <wp:extent cx="5272405" cy="2364105"/>
            <wp:effectExtent l="0" t="0" r="444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2364105"/>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jc w:val="left"/>
        <w:textAlignment w:val="auto"/>
        <w:outlineLvl w:val="1"/>
        <w:rPr>
          <w:rFonts w:hint="default" w:ascii="仿宋" w:hAnsi="仿宋" w:eastAsia="仿宋"/>
          <w:bCs/>
          <w:szCs w:val="21"/>
          <w:lang w:val="en-US" w:eastAsia="zh-CN"/>
        </w:rPr>
      </w:pPr>
      <w:r>
        <w:rPr>
          <w:rFonts w:hint="eastAsia" w:ascii="仿宋" w:hAnsi="仿宋" w:eastAsia="仿宋"/>
          <w:bCs/>
          <w:szCs w:val="21"/>
          <w:lang w:val="en-US" w:eastAsia="zh-CN"/>
        </w:rPr>
        <w:t>资料来源：博易大师</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1"/>
        <w:rPr>
          <w:rFonts w:hint="eastAsia" w:ascii="仿宋" w:hAnsi="仿宋" w:eastAsia="仿宋"/>
          <w:lang w:val="en-US" w:eastAsia="zh-CN"/>
        </w:rPr>
      </w:pPr>
      <w:r>
        <w:rPr>
          <w:rFonts w:hint="eastAsia" w:ascii="仿宋" w:hAnsi="仿宋" w:eastAsia="仿宋"/>
        </w:rPr>
        <w:t>现货方面：现货价格低于合约均价，终端工厂多数点价为主，询盘较少。短期供需未见明显矛盾，12月存累库预期，今日现货市场成交一般。十一月底前报盘01+30到+35，递盘01+25到+30，主流成交01+30附近；十二月初报盘01+28到+30，递盘01+30.主流成交01+30。十二月中报盘01+25；十二月底01+15+20，递盘01+15，部分成交01+15。</w:t>
      </w:r>
      <w:r>
        <w:drawing>
          <wp:inline distT="0" distB="0" distL="114300" distR="114300">
            <wp:extent cx="5254625" cy="3133090"/>
            <wp:effectExtent l="0" t="0" r="317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54625" cy="3133090"/>
                    </a:xfrm>
                    <a:prstGeom prst="rect">
                      <a:avLst/>
                    </a:prstGeom>
                    <a:noFill/>
                    <a:ln>
                      <a:noFill/>
                    </a:ln>
                  </pic:spPr>
                </pic:pic>
              </a:graphicData>
            </a:graphic>
          </wp:inline>
        </w:drawing>
      </w:r>
    </w:p>
    <w:p>
      <w:pPr>
        <w:widowControl/>
        <w:shd w:val="clear" w:color="auto" w:fill="FFFFFF"/>
        <w:spacing w:after="210" w:line="360" w:lineRule="auto"/>
        <w:jc w:val="left"/>
        <w:outlineLvl w:val="1"/>
        <w:rPr>
          <w:rFonts w:hint="default" w:ascii="仿宋" w:hAnsi="仿宋" w:eastAsia="仿宋"/>
          <w:bCs/>
          <w:szCs w:val="21"/>
          <w:lang w:val="en-US" w:eastAsia="zh-CN"/>
        </w:rPr>
      </w:pPr>
      <w:r>
        <w:rPr>
          <w:rFonts w:hint="eastAsia" w:ascii="仿宋" w:hAnsi="仿宋" w:eastAsia="仿宋"/>
          <w:bCs/>
          <w:szCs w:val="21"/>
        </w:rPr>
        <w:t>数据来源：</w:t>
      </w:r>
      <w:r>
        <w:rPr>
          <w:rFonts w:hint="eastAsia" w:ascii="仿宋" w:hAnsi="仿宋" w:eastAsia="仿宋"/>
          <w:bCs/>
          <w:szCs w:val="21"/>
          <w:lang w:val="en-US" w:eastAsia="zh-CN"/>
        </w:rPr>
        <w:t>Wind、冠通期货研究咨询部</w:t>
      </w:r>
    </w:p>
    <w:p>
      <w:pPr>
        <w:widowControl/>
        <w:shd w:val="clear" w:color="auto" w:fill="FFFFFF"/>
        <w:spacing w:after="210" w:line="360" w:lineRule="auto"/>
        <w:ind w:firstLine="422" w:firstLineChars="200"/>
        <w:jc w:val="left"/>
        <w:outlineLvl w:val="1"/>
        <w:rPr>
          <w:rFonts w:ascii="仿宋" w:hAnsi="仿宋" w:eastAsia="仿宋"/>
          <w:b/>
          <w:szCs w:val="21"/>
        </w:rPr>
      </w:pPr>
      <w:r>
        <w:rPr>
          <w:rFonts w:hint="eastAsia" w:ascii="仿宋" w:hAnsi="仿宋" w:eastAsia="仿宋"/>
          <w:b/>
          <w:szCs w:val="21"/>
        </w:rPr>
        <w:t>【基本面跟踪】</w:t>
      </w:r>
    </w:p>
    <w:p>
      <w:pPr>
        <w:widowControl/>
        <w:shd w:val="clear" w:color="auto" w:fill="FFFFFF"/>
        <w:spacing w:after="210" w:line="360" w:lineRule="auto"/>
        <w:jc w:val="left"/>
        <w:outlineLvl w:val="1"/>
        <w:rPr>
          <w:rFonts w:hint="default" w:ascii="仿宋" w:hAnsi="仿宋" w:eastAsia="仿宋"/>
          <w:bCs/>
          <w:szCs w:val="21"/>
          <w:u w:val="none"/>
          <w:lang w:val="en-US" w:eastAsia="zh-CN"/>
        </w:rPr>
      </w:pPr>
      <w:r>
        <w:rPr>
          <w:rFonts w:hint="eastAsia" w:ascii="仿宋" w:hAnsi="仿宋" w:eastAsia="仿宋"/>
          <w:bCs/>
          <w:szCs w:val="21"/>
          <w:u w:val="none"/>
        </w:rPr>
        <w:t>基差方面：</w:t>
      </w:r>
      <w:r>
        <w:rPr>
          <w:rFonts w:hint="eastAsia" w:ascii="仿宋" w:hAnsi="仿宋" w:eastAsia="仿宋"/>
          <w:bCs/>
          <w:szCs w:val="21"/>
          <w:u w:val="none"/>
          <w:lang w:val="en-US" w:eastAsia="zh-CN"/>
        </w:rPr>
        <w:t>PTA主力合约收盘价格与现货价格环比均有所下调，不过现价下调幅度更为明显，基差环比略有收窄，目前华东地区基差26元/吨，基本处于正常的运行范围。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outlineLvl w:val="1"/>
      </w:pPr>
      <w:r>
        <w:drawing>
          <wp:inline distT="0" distB="0" distL="114300" distR="114300">
            <wp:extent cx="5268595" cy="2948940"/>
            <wp:effectExtent l="0" t="0" r="8255" b="38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5268595" cy="2948940"/>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outlineLvl w:val="1"/>
        <w:rPr>
          <w:rFonts w:hint="eastAsia" w:ascii="仿宋" w:hAnsi="仿宋" w:eastAsia="仿宋"/>
          <w:bCs/>
          <w:szCs w:val="21"/>
          <w:lang w:val="en-US" w:eastAsia="zh-CN"/>
        </w:rPr>
      </w:pPr>
      <w:r>
        <w:rPr>
          <w:rFonts w:hint="eastAsia" w:ascii="仿宋" w:hAnsi="仿宋" w:eastAsia="仿宋"/>
          <w:bCs/>
          <w:szCs w:val="21"/>
        </w:rPr>
        <w:t>数据来源：</w:t>
      </w:r>
      <w:r>
        <w:rPr>
          <w:rFonts w:hint="eastAsia" w:ascii="仿宋" w:hAnsi="仿宋" w:eastAsia="仿宋"/>
          <w:bCs/>
          <w:szCs w:val="21"/>
          <w:lang w:val="en-US" w:eastAsia="zh-CN"/>
        </w:rPr>
        <w:t>Wind、冠通期货研究咨询部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outlineLvl w:val="1"/>
        <w:rPr>
          <w:rFonts w:hint="eastAsia" w:ascii="仿宋" w:hAnsi="仿宋" w:eastAsia="仿宋"/>
          <w:bCs/>
          <w:szCs w:val="21"/>
          <w:lang w:val="en-US" w:eastAsia="zh-CN"/>
        </w:rPr>
      </w:pPr>
    </w:p>
    <w:p>
      <w:pPr>
        <w:widowControl/>
        <w:shd w:val="clear" w:color="auto" w:fill="FFFFFF"/>
        <w:spacing w:after="210" w:line="360" w:lineRule="auto"/>
        <w:jc w:val="left"/>
        <w:outlineLvl w:val="1"/>
        <w:rPr>
          <w:rFonts w:hint="eastAsia" w:ascii="仿宋" w:hAnsi="仿宋" w:eastAsia="仿宋"/>
          <w:lang w:val="en-US" w:eastAsia="zh-CN"/>
        </w:rPr>
      </w:pPr>
      <w:r>
        <w:rPr>
          <w:rFonts w:hint="eastAsia" w:ascii="仿宋" w:hAnsi="仿宋" w:eastAsia="仿宋"/>
          <w:bCs/>
          <w:szCs w:val="21"/>
        </w:rPr>
        <w:t>产</w:t>
      </w:r>
      <w:r>
        <w:rPr>
          <w:rFonts w:hint="eastAsia" w:ascii="仿宋" w:hAnsi="仿宋" w:eastAsia="仿宋"/>
          <w:lang w:val="en-US" w:eastAsia="zh-CN"/>
        </w:rPr>
        <w:t>业方面：当前PTA装置开工负荷78.4% 左右。威联石化250万吨装置，计划11月底检修2周左右。</w:t>
      </w:r>
    </w:p>
    <w:p>
      <w:pPr>
        <w:widowControl/>
        <w:shd w:val="clear" w:color="auto" w:fill="FFFFFF"/>
        <w:spacing w:after="210" w:line="360" w:lineRule="auto"/>
        <w:jc w:val="left"/>
        <w:outlineLvl w:val="1"/>
        <w:rPr>
          <w:rFonts w:hint="default" w:ascii="仿宋" w:hAnsi="仿宋" w:eastAsia="仿宋"/>
          <w:lang w:val="en-US" w:eastAsia="zh-CN"/>
        </w:rPr>
      </w:pPr>
      <w:r>
        <w:rPr>
          <w:rFonts w:hint="eastAsia" w:ascii="仿宋" w:hAnsi="仿宋" w:eastAsia="仿宋"/>
          <w:lang w:val="en-US" w:eastAsia="zh-CN"/>
        </w:rPr>
        <w:t>成本方面：11月22日，</w:t>
      </w:r>
      <w:r>
        <w:rPr>
          <w:rFonts w:hint="default" w:ascii="仿宋" w:hAnsi="仿宋" w:eastAsia="仿宋"/>
          <w:lang w:val="en-US" w:eastAsia="zh-CN"/>
        </w:rPr>
        <w:t>PX价格</w:t>
      </w:r>
      <w:r>
        <w:rPr>
          <w:rFonts w:hint="eastAsia" w:ascii="仿宋" w:hAnsi="仿宋" w:eastAsia="仿宋"/>
          <w:lang w:val="en-US" w:eastAsia="zh-CN"/>
        </w:rPr>
        <w:t>1009.595</w:t>
      </w:r>
      <w:r>
        <w:rPr>
          <w:rFonts w:hint="default" w:ascii="仿宋" w:hAnsi="仿宋" w:eastAsia="仿宋"/>
          <w:lang w:val="en-US" w:eastAsia="zh-CN"/>
        </w:rPr>
        <w:t>USD，汇率</w:t>
      </w:r>
      <w:r>
        <w:rPr>
          <w:rFonts w:hint="eastAsia" w:ascii="仿宋" w:hAnsi="仿宋" w:eastAsia="仿宋"/>
          <w:lang w:val="en-US" w:eastAsia="zh-CN"/>
        </w:rPr>
        <w:t>7.16</w:t>
      </w:r>
      <w:r>
        <w:rPr>
          <w:rFonts w:hint="default" w:ascii="仿宋" w:hAnsi="仿宋" w:eastAsia="仿宋"/>
          <w:lang w:val="en-US" w:eastAsia="zh-CN"/>
        </w:rPr>
        <w:t>；逸盛石化PTA美金价</w:t>
      </w:r>
      <w:r>
        <w:rPr>
          <w:rFonts w:hint="eastAsia" w:ascii="仿宋" w:hAnsi="仿宋" w:eastAsia="仿宋"/>
          <w:lang w:val="en-US" w:eastAsia="zh-CN"/>
        </w:rPr>
        <w:t>760</w:t>
      </w:r>
      <w:r>
        <w:rPr>
          <w:rFonts w:hint="default" w:ascii="仿宋" w:hAnsi="仿宋" w:eastAsia="仿宋"/>
          <w:lang w:val="en-US" w:eastAsia="zh-CN"/>
        </w:rPr>
        <w:t>美元/吨；PTA原材料成本</w:t>
      </w:r>
      <w:r>
        <w:rPr>
          <w:rFonts w:hint="eastAsia" w:ascii="仿宋" w:hAnsi="仿宋" w:eastAsia="仿宋"/>
          <w:lang w:val="en-US" w:eastAsia="zh-CN"/>
        </w:rPr>
        <w:t>5441</w:t>
      </w:r>
      <w:r>
        <w:rPr>
          <w:rFonts w:hint="default" w:ascii="仿宋" w:hAnsi="仿宋" w:eastAsia="仿宋"/>
          <w:lang w:val="en-US" w:eastAsia="zh-CN"/>
        </w:rPr>
        <w:t>元/吨，加工费</w:t>
      </w:r>
      <w:r>
        <w:rPr>
          <w:rFonts w:hint="eastAsia" w:ascii="仿宋" w:hAnsi="仿宋" w:eastAsia="仿宋"/>
          <w:lang w:val="en-US" w:eastAsia="zh-CN"/>
        </w:rPr>
        <w:t>399</w:t>
      </w:r>
      <w:r>
        <w:rPr>
          <w:rFonts w:hint="default" w:ascii="仿宋" w:hAnsi="仿宋" w:eastAsia="仿宋"/>
          <w:lang w:val="en-US" w:eastAsia="zh-CN"/>
        </w:rPr>
        <w:t>元/吨。</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1"/>
        <w:rPr>
          <w:rFonts w:hint="default" w:ascii="仿宋" w:hAnsi="仿宋" w:eastAsia="仿宋"/>
          <w:lang w:val="en-US" w:eastAsia="zh-CN"/>
        </w:rPr>
      </w:pPr>
      <w:r>
        <w:drawing>
          <wp:inline distT="0" distB="0" distL="114300" distR="114300">
            <wp:extent cx="4797425" cy="2220595"/>
            <wp:effectExtent l="0" t="0" r="317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797425" cy="2220595"/>
                    </a:xfrm>
                    <a:prstGeom prst="rect">
                      <a:avLst/>
                    </a:prstGeom>
                    <a:noFill/>
                    <a:ln>
                      <a:noFill/>
                    </a:ln>
                  </pic:spPr>
                </pic:pic>
              </a:graphicData>
            </a:graphic>
          </wp:inline>
        </w:drawing>
      </w:r>
    </w:p>
    <w:p>
      <w:pPr>
        <w:widowControl/>
        <w:shd w:val="clear" w:color="auto" w:fill="FFFFFF"/>
        <w:spacing w:after="210" w:line="360" w:lineRule="auto"/>
        <w:jc w:val="left"/>
        <w:outlineLvl w:val="1"/>
        <w:rPr>
          <w:rFonts w:hint="default" w:ascii="仿宋" w:hAnsi="仿宋" w:eastAsia="仿宋"/>
          <w:bCs/>
          <w:szCs w:val="21"/>
          <w:lang w:val="en-US" w:eastAsia="zh-CN"/>
        </w:rPr>
      </w:pPr>
      <w:r>
        <w:rPr>
          <w:rFonts w:hint="eastAsia" w:ascii="仿宋" w:hAnsi="仿宋" w:eastAsia="仿宋"/>
          <w:bCs/>
          <w:szCs w:val="21"/>
        </w:rPr>
        <w:t>数据来源：</w:t>
      </w:r>
      <w:r>
        <w:rPr>
          <w:rFonts w:hint="eastAsia" w:ascii="仿宋" w:hAnsi="仿宋" w:eastAsia="仿宋"/>
          <w:bCs/>
          <w:szCs w:val="21"/>
          <w:lang w:val="en-US" w:eastAsia="zh-CN"/>
        </w:rPr>
        <w:t>Wind、冠通期货研究咨询部</w:t>
      </w:r>
    </w:p>
    <w:p>
      <w:pPr>
        <w:widowControl/>
        <w:shd w:val="clear" w:color="auto" w:fill="FFFFFF"/>
        <w:spacing w:after="210" w:line="360" w:lineRule="auto"/>
        <w:ind w:firstLine="420" w:firstLineChars="200"/>
        <w:jc w:val="left"/>
        <w:outlineLvl w:val="1"/>
        <w:rPr>
          <w:rFonts w:ascii="仿宋" w:hAnsi="仿宋" w:eastAsia="仿宋"/>
          <w:bCs/>
          <w:szCs w:val="21"/>
        </w:rPr>
      </w:pPr>
    </w:p>
    <w:p>
      <w:pPr>
        <w:autoSpaceDE w:val="0"/>
        <w:autoSpaceDN w:val="0"/>
        <w:adjustRightInd w:val="0"/>
        <w:jc w:val="left"/>
        <w:outlineLvl w:val="0"/>
        <w:rPr>
          <w:rFonts w:ascii="仿宋" w:hAnsi="仿宋" w:eastAsia="仿宋" w:cs="楷体"/>
          <w:b/>
          <w:color w:val="005BAC"/>
          <w:kern w:val="0"/>
          <w:sz w:val="24"/>
          <w:szCs w:val="24"/>
        </w:rPr>
      </w:pPr>
    </w:p>
    <w:p>
      <w:pPr>
        <w:autoSpaceDE w:val="0"/>
        <w:autoSpaceDN w:val="0"/>
        <w:adjustRightInd w:val="0"/>
        <w:jc w:val="left"/>
        <w:outlineLvl w:val="0"/>
        <w:rPr>
          <w:rFonts w:ascii="仿宋" w:hAnsi="仿宋" w:eastAsia="仿宋" w:cs="楷体"/>
          <w:b/>
          <w:color w:val="005BAC"/>
          <w:kern w:val="0"/>
          <w:sz w:val="24"/>
          <w:szCs w:val="24"/>
        </w:rPr>
      </w:pPr>
    </w:p>
    <w:p>
      <w:pPr>
        <w:autoSpaceDE w:val="0"/>
        <w:autoSpaceDN w:val="0"/>
        <w:adjustRightInd w:val="0"/>
        <w:jc w:val="left"/>
        <w:outlineLvl w:val="0"/>
        <w:rPr>
          <w:rFonts w:ascii="仿宋" w:hAnsi="仿宋" w:eastAsia="仿宋" w:cs="楷体"/>
          <w:b/>
          <w:color w:val="005BAC"/>
          <w:kern w:val="0"/>
          <w:sz w:val="24"/>
          <w:szCs w:val="24"/>
        </w:rPr>
      </w:pPr>
    </w:p>
    <w:p>
      <w:pPr>
        <w:widowControl/>
        <w:shd w:val="clear" w:color="auto" w:fill="FFFFFF"/>
        <w:spacing w:after="210"/>
        <w:ind w:right="960" w:firstLine="480" w:firstLineChars="200"/>
        <w:outlineLvl w:val="1"/>
        <w:rPr>
          <w:rFonts w:hint="default" w:ascii="仿宋" w:hAnsi="仿宋" w:eastAsia="仿宋" w:cs="楷体"/>
          <w:sz w:val="24"/>
          <w:lang w:val="en-US" w:eastAsia="zh-CN"/>
        </w:rPr>
      </w:pPr>
      <w:r>
        <w:rPr>
          <w:rFonts w:hint="eastAsia" w:ascii="仿宋" w:hAnsi="仿宋" w:eastAsia="仿宋" w:cs="楷体"/>
          <w:sz w:val="24"/>
        </w:rPr>
        <w:t xml:space="preserve">冠通期货 </w:t>
      </w:r>
      <w:r>
        <w:rPr>
          <w:rFonts w:hint="eastAsia" w:ascii="仿宋" w:hAnsi="仿宋" w:eastAsia="仿宋" w:cs="楷体"/>
          <w:sz w:val="24"/>
          <w:lang w:val="en-US" w:eastAsia="zh-CN"/>
        </w:rPr>
        <w:t>研究</w:t>
      </w:r>
      <w:r>
        <w:rPr>
          <w:rFonts w:hint="eastAsia" w:ascii="仿宋" w:hAnsi="仿宋" w:eastAsia="仿宋" w:cs="楷体"/>
          <w:sz w:val="24"/>
        </w:rPr>
        <w:t>咨询部</w:t>
      </w:r>
      <w:r>
        <w:rPr>
          <w:rFonts w:hint="eastAsia" w:ascii="仿宋" w:hAnsi="仿宋" w:eastAsia="仿宋" w:cs="楷体"/>
          <w:sz w:val="24"/>
          <w:lang w:val="en-US" w:eastAsia="zh-CN"/>
        </w:rPr>
        <w:t>王晓囡</w:t>
      </w:r>
    </w:p>
    <w:p>
      <w:pPr>
        <w:pStyle w:val="9"/>
        <w:ind w:firstLine="480" w:firstLineChars="200"/>
        <w:outlineLvl w:val="0"/>
        <w:rPr>
          <w:rFonts w:hint="eastAsia" w:ascii="仿宋" w:hAnsi="仿宋" w:eastAsia="宋体" w:cs="楷体"/>
          <w:lang w:val="en-US" w:eastAsia="zh-CN"/>
        </w:rPr>
      </w:pPr>
      <w:r>
        <w:rPr>
          <w:rFonts w:hint="eastAsia" w:ascii="仿宋" w:hAnsi="仿宋" w:eastAsia="仿宋" w:cs="楷体"/>
        </w:rPr>
        <w:t>执业资格证书编号：</w:t>
      </w:r>
      <w:r>
        <w:rPr>
          <w:rFonts w:ascii="宋体" w:hAnsi="宋体" w:eastAsia="宋体" w:cs="宋体"/>
          <w:sz w:val="24"/>
          <w:szCs w:val="24"/>
        </w:rPr>
        <w:t>F0310200</w:t>
      </w:r>
      <w:r>
        <w:rPr>
          <w:rFonts w:hint="eastAsia" w:ascii="仿宋" w:hAnsi="仿宋" w:eastAsia="仿宋" w:cs="楷体"/>
        </w:rPr>
        <w:t>/</w:t>
      </w:r>
      <w:r>
        <w:rPr>
          <w:rFonts w:hint="eastAsia" w:ascii="仿宋" w:hAnsi="仿宋" w:eastAsia="仿宋" w:cs="楷体"/>
          <w:lang w:val="en-US" w:eastAsia="zh-CN"/>
        </w:rPr>
        <w:t>Z0019650</w:t>
      </w:r>
    </w:p>
    <w:p>
      <w:pPr>
        <w:widowControl/>
        <w:shd w:val="clear" w:color="auto" w:fill="FFFFFF"/>
        <w:spacing w:after="210" w:line="360" w:lineRule="auto"/>
        <w:outlineLvl w:val="1"/>
        <w:rPr>
          <w:rFonts w:ascii="仿宋" w:hAnsi="仿宋" w:eastAsia="仿宋"/>
          <w:bCs/>
          <w:spacing w:val="15"/>
          <w:kern w:val="0"/>
          <w:sz w:val="24"/>
          <w:szCs w:val="24"/>
          <w:shd w:val="clear" w:color="auto" w:fill="FFFFFF"/>
        </w:rPr>
      </w:pPr>
    </w:p>
    <w:p>
      <w:pPr>
        <w:autoSpaceDE w:val="0"/>
        <w:autoSpaceDN w:val="0"/>
        <w:adjustRightInd w:val="0"/>
        <w:jc w:val="left"/>
        <w:outlineLvl w:val="0"/>
        <w:rPr>
          <w:rFonts w:ascii="仿宋" w:hAnsi="仿宋" w:eastAsia="仿宋" w:cs="楷体"/>
          <w:b/>
          <w:color w:val="005BAC"/>
          <w:kern w:val="0"/>
          <w:sz w:val="24"/>
          <w:szCs w:val="24"/>
        </w:rPr>
      </w:pPr>
    </w:p>
    <w:p>
      <w:pPr>
        <w:autoSpaceDE w:val="0"/>
        <w:autoSpaceDN w:val="0"/>
        <w:adjustRightInd w:val="0"/>
        <w:jc w:val="left"/>
        <w:outlineLvl w:val="0"/>
        <w:rPr>
          <w:rFonts w:ascii="仿宋" w:hAnsi="仿宋" w:eastAsia="仿宋" w:cs="楷体"/>
          <w:b/>
          <w:color w:val="005BAC"/>
          <w:kern w:val="0"/>
          <w:sz w:val="24"/>
          <w:szCs w:val="24"/>
        </w:rPr>
      </w:pPr>
    </w:p>
    <w:p>
      <w:pPr>
        <w:autoSpaceDE w:val="0"/>
        <w:autoSpaceDN w:val="0"/>
        <w:adjustRightInd w:val="0"/>
        <w:jc w:val="left"/>
        <w:outlineLvl w:val="0"/>
        <w:rPr>
          <w:rFonts w:ascii="仿宋" w:hAnsi="仿宋" w:eastAsia="仿宋" w:cs="楷体"/>
          <w:b/>
          <w:color w:val="005BAC"/>
          <w:kern w:val="0"/>
          <w:sz w:val="24"/>
          <w:szCs w:val="24"/>
        </w:rPr>
      </w:pPr>
      <w:r>
        <w:rPr>
          <w:rFonts w:hint="eastAsia" w:ascii="仿宋" w:hAnsi="仿宋" w:eastAsia="仿宋" w:cs="楷体"/>
          <w:b/>
          <w:color w:val="005BAC"/>
          <w:kern w:val="0"/>
          <w:sz w:val="24"/>
          <w:szCs w:val="24"/>
        </w:rPr>
        <w:t>本报告发布机构</w:t>
      </w:r>
    </w:p>
    <w:p>
      <w:pPr>
        <w:autoSpaceDE w:val="0"/>
        <w:autoSpaceDN w:val="0"/>
        <w:adjustRightInd w:val="0"/>
        <w:jc w:val="left"/>
        <w:outlineLvl w:val="0"/>
        <w:rPr>
          <w:rFonts w:ascii="仿宋" w:hAnsi="仿宋" w:eastAsia="仿宋" w:cs="楷体"/>
          <w:b/>
          <w:color w:val="005BAC"/>
          <w:kern w:val="0"/>
          <w:sz w:val="24"/>
          <w:szCs w:val="24"/>
        </w:rPr>
      </w:pPr>
      <w:r>
        <w:rPr>
          <w:rFonts w:hint="eastAsia" w:ascii="仿宋" w:hAnsi="仿宋" w:eastAsia="仿宋" w:cs="楷体"/>
          <w:b/>
          <w:color w:val="005BAC"/>
          <w:kern w:val="0"/>
          <w:sz w:val="24"/>
          <w:szCs w:val="24"/>
        </w:rPr>
        <w:t>--冠通期货股份有限公司（已获中国证监会许可的期货</w:t>
      </w:r>
      <w:r>
        <w:rPr>
          <w:rFonts w:hint="eastAsia" w:ascii="仿宋" w:hAnsi="仿宋" w:eastAsia="仿宋" w:cs="楷体"/>
          <w:b/>
          <w:color w:val="005BAC"/>
          <w:kern w:val="0"/>
          <w:sz w:val="24"/>
          <w:szCs w:val="24"/>
          <w:lang w:val="en-US" w:eastAsia="zh-CN"/>
        </w:rPr>
        <w:t>交易</w:t>
      </w:r>
      <w:r>
        <w:rPr>
          <w:rFonts w:hint="eastAsia" w:ascii="仿宋" w:hAnsi="仿宋" w:eastAsia="仿宋" w:cs="楷体"/>
          <w:b/>
          <w:color w:val="005BAC"/>
          <w:kern w:val="0"/>
          <w:sz w:val="24"/>
          <w:szCs w:val="24"/>
        </w:rPr>
        <w:t>咨询业务资格）</w:t>
      </w:r>
    </w:p>
    <w:p>
      <w:pPr>
        <w:autoSpaceDE w:val="0"/>
        <w:autoSpaceDN w:val="0"/>
        <w:adjustRightInd w:val="0"/>
        <w:jc w:val="left"/>
        <w:outlineLvl w:val="0"/>
        <w:rPr>
          <w:rFonts w:ascii="仿宋" w:hAnsi="仿宋" w:eastAsia="仿宋" w:cs="楷体"/>
          <w:b/>
          <w:color w:val="005BAC"/>
          <w:kern w:val="0"/>
          <w:sz w:val="24"/>
          <w:szCs w:val="24"/>
        </w:rPr>
      </w:pPr>
      <w:r>
        <w:rPr>
          <w:rFonts w:hint="eastAsia" w:ascii="仿宋" w:hAnsi="仿宋" w:eastAsia="仿宋" w:cs="楷体"/>
          <w:b/>
          <w:color w:val="005BAC"/>
          <w:kern w:val="0"/>
          <w:sz w:val="24"/>
          <w:szCs w:val="24"/>
        </w:rPr>
        <w:t>免责声明：</w:t>
      </w:r>
    </w:p>
    <w:p>
      <w:pPr>
        <w:rPr>
          <w:rFonts w:ascii="仿宋" w:hAnsi="仿宋" w:eastAsia="仿宋" w:cs="楷体"/>
          <w:b/>
          <w:sz w:val="24"/>
          <w:szCs w:val="24"/>
        </w:rPr>
      </w:pPr>
      <w:r>
        <w:rPr>
          <w:rFonts w:hint="eastAsia" w:ascii="仿宋" w:hAnsi="仿宋" w:eastAsia="仿宋" w:cs="楷体"/>
          <w:kern w:val="0"/>
          <w:sz w:val="24"/>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w:t>
      </w:r>
      <w:bookmarkEnd w:id="0"/>
      <w:bookmarkEnd w:id="1"/>
      <w:bookmarkEnd w:id="2"/>
      <w:bookmarkEnd w:id="3"/>
      <w:bookmarkEnd w:id="4"/>
    </w:p>
    <w:sectPr>
      <w:headerReference r:id="rId3" w:type="default"/>
      <w:footerReference r:id="rId4"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b/>
        <w:color w:val="9DC3E6" w:themeColor="accent1" w:themeTint="99"/>
        <w14:textFill>
          <w14:solidFill>
            <w14:schemeClr w14:val="accent1">
              <w14:lumMod w14:val="60000"/>
              <w14:lumOff w14:val="40000"/>
            </w14:schemeClr>
          </w14:solidFill>
        </w14:textFill>
      </w:rPr>
    </w:pPr>
    <w:r>
      <w:rPr>
        <w:rFonts w:hint="eastAsia"/>
        <w:b/>
        <w:color w:val="9DC3E6" w:themeColor="accent1" w:themeTint="99"/>
        <w14:textFill>
          <w14:solidFill>
            <w14:schemeClr w14:val="accent1">
              <w14:lumMod w14:val="60000"/>
              <w14:lumOff w14:val="40000"/>
            </w14:schemeClr>
          </w14:solidFill>
        </w14:textFill>
      </w:rPr>
      <w:t>投资有风险，入市需谨慎。</w:t>
    </w:r>
  </w:p>
  <w:p>
    <w:pPr>
      <w:pStyle w:val="2"/>
      <w:jc w:val="center"/>
      <w:rPr>
        <w:b/>
        <w:color w:val="9DC3E6" w:themeColor="accent1" w:themeTint="99"/>
        <w14:textFill>
          <w14:solidFill>
            <w14:schemeClr w14:val="accent1">
              <w14:lumMod w14:val="60000"/>
              <w14:lumOff w14:val="40000"/>
            </w14:schemeClr>
          </w14:solidFill>
        </w14:textFill>
      </w:rPr>
    </w:pPr>
    <w:r>
      <w:rPr>
        <w:rFonts w:hint="eastAsia"/>
        <w:b/>
        <w:color w:val="9DC3E6" w:themeColor="accent1" w:themeTint="99"/>
        <w14:textFill>
          <w14:solidFill>
            <w14:schemeClr w14:val="accent1">
              <w14:lumMod w14:val="60000"/>
              <w14:lumOff w14:val="40000"/>
            </w14:schemeClr>
          </w14:solidFill>
        </w14:textFill>
      </w:rPr>
      <w:t>本公司具备期货</w:t>
    </w:r>
    <w:r>
      <w:rPr>
        <w:rFonts w:hint="eastAsia"/>
        <w:b/>
        <w:color w:val="9DC3E6" w:themeColor="accent1" w:themeTint="99"/>
        <w:lang w:val="en-US" w:eastAsia="zh-CN"/>
        <w14:textFill>
          <w14:solidFill>
            <w14:schemeClr w14:val="accent1">
              <w14:lumMod w14:val="60000"/>
              <w14:lumOff w14:val="40000"/>
            </w14:schemeClr>
          </w14:solidFill>
        </w14:textFill>
      </w:rPr>
      <w:t>交易</w:t>
    </w:r>
    <w:r>
      <w:rPr>
        <w:rFonts w:hint="eastAsia"/>
        <w:b/>
        <w:color w:val="9DC3E6" w:themeColor="accent1" w:themeTint="99"/>
        <w14:textFill>
          <w14:solidFill>
            <w14:schemeClr w14:val="accent1">
              <w14:lumMod w14:val="60000"/>
              <w14:lumOff w14:val="40000"/>
            </w14:schemeClr>
          </w14:solidFill>
        </w14:textFill>
      </w:rPr>
      <w:t>咨询业务资格，请务必阅读最后一页免责声明。</w:t>
    </w:r>
  </w:p>
  <w:sdt>
    <w:sdtPr>
      <w:id w:val="46426482"/>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ZmIzNDljODA3OTYzZDkyNTFjM2IyMGM0NGJkN2YifQ=="/>
  </w:docVars>
  <w:rsids>
    <w:rsidRoot w:val="00535F32"/>
    <w:rsid w:val="00001AF3"/>
    <w:rsid w:val="00006B3F"/>
    <w:rsid w:val="0000766E"/>
    <w:rsid w:val="00007CC9"/>
    <w:rsid w:val="00011651"/>
    <w:rsid w:val="00011A28"/>
    <w:rsid w:val="00014D19"/>
    <w:rsid w:val="00017511"/>
    <w:rsid w:val="000230D7"/>
    <w:rsid w:val="000244AD"/>
    <w:rsid w:val="00041F44"/>
    <w:rsid w:val="00043C1A"/>
    <w:rsid w:val="0004525A"/>
    <w:rsid w:val="00052138"/>
    <w:rsid w:val="00063CA3"/>
    <w:rsid w:val="00064B10"/>
    <w:rsid w:val="00064EDE"/>
    <w:rsid w:val="00065B17"/>
    <w:rsid w:val="000701A2"/>
    <w:rsid w:val="00070C4F"/>
    <w:rsid w:val="00072ADA"/>
    <w:rsid w:val="00074E77"/>
    <w:rsid w:val="0007562E"/>
    <w:rsid w:val="000756B6"/>
    <w:rsid w:val="000762CF"/>
    <w:rsid w:val="00076A05"/>
    <w:rsid w:val="000943AD"/>
    <w:rsid w:val="0009580A"/>
    <w:rsid w:val="000978CB"/>
    <w:rsid w:val="000A290C"/>
    <w:rsid w:val="000A4B22"/>
    <w:rsid w:val="000A6D84"/>
    <w:rsid w:val="000B0FDB"/>
    <w:rsid w:val="000B23DA"/>
    <w:rsid w:val="000B433F"/>
    <w:rsid w:val="000B4A51"/>
    <w:rsid w:val="000C5778"/>
    <w:rsid w:val="000C62D3"/>
    <w:rsid w:val="000C6D38"/>
    <w:rsid w:val="000C742E"/>
    <w:rsid w:val="000D0009"/>
    <w:rsid w:val="000D6E43"/>
    <w:rsid w:val="000E202E"/>
    <w:rsid w:val="000E248A"/>
    <w:rsid w:val="000E4CB6"/>
    <w:rsid w:val="000E5068"/>
    <w:rsid w:val="000E603D"/>
    <w:rsid w:val="0011049C"/>
    <w:rsid w:val="001106ED"/>
    <w:rsid w:val="001263A0"/>
    <w:rsid w:val="00127D1D"/>
    <w:rsid w:val="001435A0"/>
    <w:rsid w:val="00143B64"/>
    <w:rsid w:val="001505F8"/>
    <w:rsid w:val="00151B22"/>
    <w:rsid w:val="00154E5C"/>
    <w:rsid w:val="00154FCF"/>
    <w:rsid w:val="00156F3D"/>
    <w:rsid w:val="001626EB"/>
    <w:rsid w:val="00163B86"/>
    <w:rsid w:val="00163D54"/>
    <w:rsid w:val="00165F1D"/>
    <w:rsid w:val="00172FFF"/>
    <w:rsid w:val="00185997"/>
    <w:rsid w:val="00190804"/>
    <w:rsid w:val="00192411"/>
    <w:rsid w:val="00192A33"/>
    <w:rsid w:val="00193360"/>
    <w:rsid w:val="001A0D0E"/>
    <w:rsid w:val="001A3B97"/>
    <w:rsid w:val="001A5866"/>
    <w:rsid w:val="001B175A"/>
    <w:rsid w:val="001B62C3"/>
    <w:rsid w:val="001B7E3B"/>
    <w:rsid w:val="001B7F4F"/>
    <w:rsid w:val="001C33DA"/>
    <w:rsid w:val="001C6F3B"/>
    <w:rsid w:val="001D2908"/>
    <w:rsid w:val="001D314E"/>
    <w:rsid w:val="001D3FD3"/>
    <w:rsid w:val="001D73E4"/>
    <w:rsid w:val="001E2147"/>
    <w:rsid w:val="001E58B6"/>
    <w:rsid w:val="001E77EA"/>
    <w:rsid w:val="001F0855"/>
    <w:rsid w:val="001F51A9"/>
    <w:rsid w:val="002026FE"/>
    <w:rsid w:val="002153F4"/>
    <w:rsid w:val="0021667A"/>
    <w:rsid w:val="00217EB4"/>
    <w:rsid w:val="002218B9"/>
    <w:rsid w:val="00227495"/>
    <w:rsid w:val="00231AE1"/>
    <w:rsid w:val="00236724"/>
    <w:rsid w:val="00243496"/>
    <w:rsid w:val="00243FE8"/>
    <w:rsid w:val="0024484A"/>
    <w:rsid w:val="002525FD"/>
    <w:rsid w:val="002538B0"/>
    <w:rsid w:val="00257448"/>
    <w:rsid w:val="0026365E"/>
    <w:rsid w:val="00267C82"/>
    <w:rsid w:val="002706F8"/>
    <w:rsid w:val="002773D8"/>
    <w:rsid w:val="00293FC3"/>
    <w:rsid w:val="002A1B5A"/>
    <w:rsid w:val="002A3042"/>
    <w:rsid w:val="002C0A0A"/>
    <w:rsid w:val="002C0D93"/>
    <w:rsid w:val="002C4CD5"/>
    <w:rsid w:val="002C5875"/>
    <w:rsid w:val="002D31B5"/>
    <w:rsid w:val="002D46BA"/>
    <w:rsid w:val="002E1C35"/>
    <w:rsid w:val="002E2509"/>
    <w:rsid w:val="002E4BEE"/>
    <w:rsid w:val="002E57FE"/>
    <w:rsid w:val="002E6437"/>
    <w:rsid w:val="002E738F"/>
    <w:rsid w:val="002E75AA"/>
    <w:rsid w:val="002E7786"/>
    <w:rsid w:val="002F03E2"/>
    <w:rsid w:val="002F0481"/>
    <w:rsid w:val="002F08A2"/>
    <w:rsid w:val="003000FE"/>
    <w:rsid w:val="00302D24"/>
    <w:rsid w:val="00303E6D"/>
    <w:rsid w:val="003068D5"/>
    <w:rsid w:val="003116FD"/>
    <w:rsid w:val="003169FF"/>
    <w:rsid w:val="003203D0"/>
    <w:rsid w:val="00320B28"/>
    <w:rsid w:val="0032309A"/>
    <w:rsid w:val="00326AD4"/>
    <w:rsid w:val="003317EF"/>
    <w:rsid w:val="00331F74"/>
    <w:rsid w:val="00336B80"/>
    <w:rsid w:val="003440D4"/>
    <w:rsid w:val="00355547"/>
    <w:rsid w:val="0036165B"/>
    <w:rsid w:val="003678B9"/>
    <w:rsid w:val="00377404"/>
    <w:rsid w:val="003858C7"/>
    <w:rsid w:val="00386194"/>
    <w:rsid w:val="00387D9C"/>
    <w:rsid w:val="00393D18"/>
    <w:rsid w:val="003A0B82"/>
    <w:rsid w:val="003A2056"/>
    <w:rsid w:val="003A205F"/>
    <w:rsid w:val="003A34B2"/>
    <w:rsid w:val="003A42CC"/>
    <w:rsid w:val="003A4D2F"/>
    <w:rsid w:val="003A631C"/>
    <w:rsid w:val="003A7D70"/>
    <w:rsid w:val="003B1A85"/>
    <w:rsid w:val="003B49F9"/>
    <w:rsid w:val="003D1647"/>
    <w:rsid w:val="003D182F"/>
    <w:rsid w:val="003D206A"/>
    <w:rsid w:val="003D6CAE"/>
    <w:rsid w:val="003D71DA"/>
    <w:rsid w:val="003D7AFE"/>
    <w:rsid w:val="00400360"/>
    <w:rsid w:val="0040254F"/>
    <w:rsid w:val="00403385"/>
    <w:rsid w:val="0040672C"/>
    <w:rsid w:val="00406F97"/>
    <w:rsid w:val="00410941"/>
    <w:rsid w:val="004164B2"/>
    <w:rsid w:val="00420AF4"/>
    <w:rsid w:val="00422EFF"/>
    <w:rsid w:val="00431771"/>
    <w:rsid w:val="00451B70"/>
    <w:rsid w:val="00452F66"/>
    <w:rsid w:val="004561FB"/>
    <w:rsid w:val="0046112D"/>
    <w:rsid w:val="0048147D"/>
    <w:rsid w:val="00481523"/>
    <w:rsid w:val="00483275"/>
    <w:rsid w:val="00483A65"/>
    <w:rsid w:val="00483CEF"/>
    <w:rsid w:val="00491423"/>
    <w:rsid w:val="00491543"/>
    <w:rsid w:val="004A2E58"/>
    <w:rsid w:val="004A3420"/>
    <w:rsid w:val="004B4C62"/>
    <w:rsid w:val="004B72B6"/>
    <w:rsid w:val="004B7E77"/>
    <w:rsid w:val="004D236C"/>
    <w:rsid w:val="004D2480"/>
    <w:rsid w:val="004D3768"/>
    <w:rsid w:val="004E0674"/>
    <w:rsid w:val="004E46A1"/>
    <w:rsid w:val="004E5A55"/>
    <w:rsid w:val="004F420A"/>
    <w:rsid w:val="004F52CE"/>
    <w:rsid w:val="0050203F"/>
    <w:rsid w:val="005177B2"/>
    <w:rsid w:val="00521455"/>
    <w:rsid w:val="00523D5E"/>
    <w:rsid w:val="00531274"/>
    <w:rsid w:val="00535F32"/>
    <w:rsid w:val="005376C1"/>
    <w:rsid w:val="00541313"/>
    <w:rsid w:val="00541E90"/>
    <w:rsid w:val="00542501"/>
    <w:rsid w:val="00544078"/>
    <w:rsid w:val="00546B7F"/>
    <w:rsid w:val="00553AD6"/>
    <w:rsid w:val="00560A11"/>
    <w:rsid w:val="00562011"/>
    <w:rsid w:val="005633EB"/>
    <w:rsid w:val="0056341A"/>
    <w:rsid w:val="00564D97"/>
    <w:rsid w:val="005656EE"/>
    <w:rsid w:val="00567656"/>
    <w:rsid w:val="00571B3E"/>
    <w:rsid w:val="00574B55"/>
    <w:rsid w:val="00581165"/>
    <w:rsid w:val="00582BCD"/>
    <w:rsid w:val="00583AA8"/>
    <w:rsid w:val="005A1038"/>
    <w:rsid w:val="005A1D84"/>
    <w:rsid w:val="005A1F32"/>
    <w:rsid w:val="005B0C44"/>
    <w:rsid w:val="005B494C"/>
    <w:rsid w:val="005B6D8B"/>
    <w:rsid w:val="005C0EC7"/>
    <w:rsid w:val="005C1BC4"/>
    <w:rsid w:val="005C6B6C"/>
    <w:rsid w:val="005C7489"/>
    <w:rsid w:val="005D3B96"/>
    <w:rsid w:val="005D7366"/>
    <w:rsid w:val="005E7B9F"/>
    <w:rsid w:val="005F7AAA"/>
    <w:rsid w:val="006022F9"/>
    <w:rsid w:val="006028DA"/>
    <w:rsid w:val="00602D15"/>
    <w:rsid w:val="00604627"/>
    <w:rsid w:val="0060714C"/>
    <w:rsid w:val="0061008F"/>
    <w:rsid w:val="00613328"/>
    <w:rsid w:val="0061503D"/>
    <w:rsid w:val="006175C3"/>
    <w:rsid w:val="0062482B"/>
    <w:rsid w:val="00626AB0"/>
    <w:rsid w:val="00626BB6"/>
    <w:rsid w:val="0064612D"/>
    <w:rsid w:val="00646E94"/>
    <w:rsid w:val="00647E05"/>
    <w:rsid w:val="0065002D"/>
    <w:rsid w:val="006525F4"/>
    <w:rsid w:val="0065269B"/>
    <w:rsid w:val="00653344"/>
    <w:rsid w:val="00653582"/>
    <w:rsid w:val="00656320"/>
    <w:rsid w:val="006615EE"/>
    <w:rsid w:val="006661FF"/>
    <w:rsid w:val="00674E47"/>
    <w:rsid w:val="00675E97"/>
    <w:rsid w:val="006800C7"/>
    <w:rsid w:val="00681383"/>
    <w:rsid w:val="00681CA4"/>
    <w:rsid w:val="00683045"/>
    <w:rsid w:val="006834AE"/>
    <w:rsid w:val="0068367F"/>
    <w:rsid w:val="00683F96"/>
    <w:rsid w:val="00697AAC"/>
    <w:rsid w:val="006A0F28"/>
    <w:rsid w:val="006A7B50"/>
    <w:rsid w:val="006B0655"/>
    <w:rsid w:val="006C1B33"/>
    <w:rsid w:val="006C42DC"/>
    <w:rsid w:val="006C6079"/>
    <w:rsid w:val="006C7390"/>
    <w:rsid w:val="006D2335"/>
    <w:rsid w:val="006D4391"/>
    <w:rsid w:val="006D504F"/>
    <w:rsid w:val="006D75EF"/>
    <w:rsid w:val="006E0685"/>
    <w:rsid w:val="006E2C01"/>
    <w:rsid w:val="006F550A"/>
    <w:rsid w:val="00702555"/>
    <w:rsid w:val="00706266"/>
    <w:rsid w:val="00710CBA"/>
    <w:rsid w:val="00712C2F"/>
    <w:rsid w:val="00714CF5"/>
    <w:rsid w:val="007167EB"/>
    <w:rsid w:val="00720716"/>
    <w:rsid w:val="00726CE8"/>
    <w:rsid w:val="00744459"/>
    <w:rsid w:val="007467B1"/>
    <w:rsid w:val="007468F0"/>
    <w:rsid w:val="00750368"/>
    <w:rsid w:val="00755DB7"/>
    <w:rsid w:val="007804E8"/>
    <w:rsid w:val="00783076"/>
    <w:rsid w:val="00785A95"/>
    <w:rsid w:val="00787D20"/>
    <w:rsid w:val="00795441"/>
    <w:rsid w:val="00796AFA"/>
    <w:rsid w:val="00797994"/>
    <w:rsid w:val="007A4CC1"/>
    <w:rsid w:val="007A5C60"/>
    <w:rsid w:val="007B790E"/>
    <w:rsid w:val="007C07D2"/>
    <w:rsid w:val="007C0EF6"/>
    <w:rsid w:val="007C0F0B"/>
    <w:rsid w:val="007C1ECE"/>
    <w:rsid w:val="007C4B69"/>
    <w:rsid w:val="007C7FED"/>
    <w:rsid w:val="007D4B22"/>
    <w:rsid w:val="007D56E7"/>
    <w:rsid w:val="007E0B40"/>
    <w:rsid w:val="007E4323"/>
    <w:rsid w:val="007F2C82"/>
    <w:rsid w:val="007F7500"/>
    <w:rsid w:val="007F7AF7"/>
    <w:rsid w:val="00802DF2"/>
    <w:rsid w:val="00807A44"/>
    <w:rsid w:val="0081514D"/>
    <w:rsid w:val="00823574"/>
    <w:rsid w:val="008318FC"/>
    <w:rsid w:val="008359AA"/>
    <w:rsid w:val="00842B26"/>
    <w:rsid w:val="00847159"/>
    <w:rsid w:val="00850DAA"/>
    <w:rsid w:val="00853B2A"/>
    <w:rsid w:val="00854F19"/>
    <w:rsid w:val="00856465"/>
    <w:rsid w:val="0086179C"/>
    <w:rsid w:val="00862CF1"/>
    <w:rsid w:val="00862E9E"/>
    <w:rsid w:val="008701DD"/>
    <w:rsid w:val="00874CE7"/>
    <w:rsid w:val="00877003"/>
    <w:rsid w:val="00883794"/>
    <w:rsid w:val="00885892"/>
    <w:rsid w:val="008859B3"/>
    <w:rsid w:val="00885D93"/>
    <w:rsid w:val="00886F4A"/>
    <w:rsid w:val="00890918"/>
    <w:rsid w:val="008914F7"/>
    <w:rsid w:val="00891528"/>
    <w:rsid w:val="008A156A"/>
    <w:rsid w:val="008A3E13"/>
    <w:rsid w:val="008B216B"/>
    <w:rsid w:val="008B27A1"/>
    <w:rsid w:val="008B3A20"/>
    <w:rsid w:val="008C1680"/>
    <w:rsid w:val="008C3477"/>
    <w:rsid w:val="008D17B9"/>
    <w:rsid w:val="008D212E"/>
    <w:rsid w:val="008D6F3D"/>
    <w:rsid w:val="008E1FBF"/>
    <w:rsid w:val="008E479C"/>
    <w:rsid w:val="008E6639"/>
    <w:rsid w:val="008F4A94"/>
    <w:rsid w:val="009012A1"/>
    <w:rsid w:val="00901A3E"/>
    <w:rsid w:val="009033C3"/>
    <w:rsid w:val="0091262F"/>
    <w:rsid w:val="00922106"/>
    <w:rsid w:val="009262BD"/>
    <w:rsid w:val="009313EA"/>
    <w:rsid w:val="0093586C"/>
    <w:rsid w:val="00940D0C"/>
    <w:rsid w:val="00943557"/>
    <w:rsid w:val="00944C20"/>
    <w:rsid w:val="0095233D"/>
    <w:rsid w:val="00952F59"/>
    <w:rsid w:val="0097185C"/>
    <w:rsid w:val="00975EBF"/>
    <w:rsid w:val="00976448"/>
    <w:rsid w:val="009A3093"/>
    <w:rsid w:val="009B7B74"/>
    <w:rsid w:val="009C0194"/>
    <w:rsid w:val="009C2FA8"/>
    <w:rsid w:val="009C5928"/>
    <w:rsid w:val="009D6A28"/>
    <w:rsid w:val="009D6DF7"/>
    <w:rsid w:val="009E7F11"/>
    <w:rsid w:val="009F0B12"/>
    <w:rsid w:val="009F0B95"/>
    <w:rsid w:val="009F1BCF"/>
    <w:rsid w:val="00A01CFF"/>
    <w:rsid w:val="00A03370"/>
    <w:rsid w:val="00A0617F"/>
    <w:rsid w:val="00A10918"/>
    <w:rsid w:val="00A1399D"/>
    <w:rsid w:val="00A15609"/>
    <w:rsid w:val="00A165B9"/>
    <w:rsid w:val="00A20F3B"/>
    <w:rsid w:val="00A228C4"/>
    <w:rsid w:val="00A22B31"/>
    <w:rsid w:val="00A321CD"/>
    <w:rsid w:val="00A40CD4"/>
    <w:rsid w:val="00A41EB7"/>
    <w:rsid w:val="00A47861"/>
    <w:rsid w:val="00A54620"/>
    <w:rsid w:val="00A57558"/>
    <w:rsid w:val="00A6481B"/>
    <w:rsid w:val="00A653A5"/>
    <w:rsid w:val="00A67D45"/>
    <w:rsid w:val="00A70184"/>
    <w:rsid w:val="00A710EB"/>
    <w:rsid w:val="00A73A87"/>
    <w:rsid w:val="00A8593B"/>
    <w:rsid w:val="00A93DE6"/>
    <w:rsid w:val="00A9585C"/>
    <w:rsid w:val="00A9662A"/>
    <w:rsid w:val="00A97AC2"/>
    <w:rsid w:val="00AB3402"/>
    <w:rsid w:val="00AC14AB"/>
    <w:rsid w:val="00AC688E"/>
    <w:rsid w:val="00AD16F6"/>
    <w:rsid w:val="00AD1F72"/>
    <w:rsid w:val="00AD5C91"/>
    <w:rsid w:val="00AD6B74"/>
    <w:rsid w:val="00AE37CB"/>
    <w:rsid w:val="00AF302B"/>
    <w:rsid w:val="00B04273"/>
    <w:rsid w:val="00B061E5"/>
    <w:rsid w:val="00B079F7"/>
    <w:rsid w:val="00B118CD"/>
    <w:rsid w:val="00B136F3"/>
    <w:rsid w:val="00B13E91"/>
    <w:rsid w:val="00B35444"/>
    <w:rsid w:val="00B47684"/>
    <w:rsid w:val="00B51A0C"/>
    <w:rsid w:val="00B54CAD"/>
    <w:rsid w:val="00B56E2D"/>
    <w:rsid w:val="00B57B36"/>
    <w:rsid w:val="00B61975"/>
    <w:rsid w:val="00B76847"/>
    <w:rsid w:val="00B817B8"/>
    <w:rsid w:val="00B81B63"/>
    <w:rsid w:val="00B82944"/>
    <w:rsid w:val="00B82C9B"/>
    <w:rsid w:val="00B851F3"/>
    <w:rsid w:val="00B919D7"/>
    <w:rsid w:val="00B9457B"/>
    <w:rsid w:val="00B94834"/>
    <w:rsid w:val="00BA04ED"/>
    <w:rsid w:val="00BA1D2B"/>
    <w:rsid w:val="00BB468F"/>
    <w:rsid w:val="00BB547D"/>
    <w:rsid w:val="00BB6377"/>
    <w:rsid w:val="00BB6547"/>
    <w:rsid w:val="00BB7B3E"/>
    <w:rsid w:val="00BC01C1"/>
    <w:rsid w:val="00BC0417"/>
    <w:rsid w:val="00BC5AC7"/>
    <w:rsid w:val="00BC5ED1"/>
    <w:rsid w:val="00BD0265"/>
    <w:rsid w:val="00BD3E6C"/>
    <w:rsid w:val="00BD4760"/>
    <w:rsid w:val="00BD4F48"/>
    <w:rsid w:val="00BE5D18"/>
    <w:rsid w:val="00BE76B1"/>
    <w:rsid w:val="00BF0818"/>
    <w:rsid w:val="00BF3814"/>
    <w:rsid w:val="00C000A2"/>
    <w:rsid w:val="00C0212A"/>
    <w:rsid w:val="00C02AE6"/>
    <w:rsid w:val="00C06201"/>
    <w:rsid w:val="00C070B9"/>
    <w:rsid w:val="00C1392D"/>
    <w:rsid w:val="00C256AD"/>
    <w:rsid w:val="00C32912"/>
    <w:rsid w:val="00C3489C"/>
    <w:rsid w:val="00C409F2"/>
    <w:rsid w:val="00C41AD9"/>
    <w:rsid w:val="00C42050"/>
    <w:rsid w:val="00C52A30"/>
    <w:rsid w:val="00C62994"/>
    <w:rsid w:val="00C6524E"/>
    <w:rsid w:val="00C70168"/>
    <w:rsid w:val="00C723D6"/>
    <w:rsid w:val="00C9114A"/>
    <w:rsid w:val="00C93436"/>
    <w:rsid w:val="00C94A98"/>
    <w:rsid w:val="00C96572"/>
    <w:rsid w:val="00CA5A98"/>
    <w:rsid w:val="00CA6C8B"/>
    <w:rsid w:val="00CB23E6"/>
    <w:rsid w:val="00CB5F02"/>
    <w:rsid w:val="00CD0C31"/>
    <w:rsid w:val="00CD6BED"/>
    <w:rsid w:val="00CD7AC3"/>
    <w:rsid w:val="00CE139C"/>
    <w:rsid w:val="00CE464C"/>
    <w:rsid w:val="00CE6447"/>
    <w:rsid w:val="00CF0875"/>
    <w:rsid w:val="00CF20AF"/>
    <w:rsid w:val="00CF226D"/>
    <w:rsid w:val="00CF50A9"/>
    <w:rsid w:val="00CF61B7"/>
    <w:rsid w:val="00CF6FD1"/>
    <w:rsid w:val="00D0182B"/>
    <w:rsid w:val="00D01FB3"/>
    <w:rsid w:val="00D02515"/>
    <w:rsid w:val="00D06A88"/>
    <w:rsid w:val="00D125D0"/>
    <w:rsid w:val="00D24053"/>
    <w:rsid w:val="00D3045B"/>
    <w:rsid w:val="00D33741"/>
    <w:rsid w:val="00D34D26"/>
    <w:rsid w:val="00D36949"/>
    <w:rsid w:val="00D44561"/>
    <w:rsid w:val="00D44A1A"/>
    <w:rsid w:val="00D60C2A"/>
    <w:rsid w:val="00D6258B"/>
    <w:rsid w:val="00D669F0"/>
    <w:rsid w:val="00D71A74"/>
    <w:rsid w:val="00D74CC5"/>
    <w:rsid w:val="00D816F0"/>
    <w:rsid w:val="00D87F9A"/>
    <w:rsid w:val="00D930AF"/>
    <w:rsid w:val="00D94AA7"/>
    <w:rsid w:val="00D9752E"/>
    <w:rsid w:val="00DA1051"/>
    <w:rsid w:val="00DA3FF1"/>
    <w:rsid w:val="00DA6C27"/>
    <w:rsid w:val="00DB4287"/>
    <w:rsid w:val="00DB6DA6"/>
    <w:rsid w:val="00DC191B"/>
    <w:rsid w:val="00DC3C63"/>
    <w:rsid w:val="00DC5A9A"/>
    <w:rsid w:val="00DD4E64"/>
    <w:rsid w:val="00DF2DE8"/>
    <w:rsid w:val="00DF4832"/>
    <w:rsid w:val="00E11876"/>
    <w:rsid w:val="00E13AB1"/>
    <w:rsid w:val="00E16AAB"/>
    <w:rsid w:val="00E202D9"/>
    <w:rsid w:val="00E24EEF"/>
    <w:rsid w:val="00E2688D"/>
    <w:rsid w:val="00E33195"/>
    <w:rsid w:val="00E331A6"/>
    <w:rsid w:val="00E37A30"/>
    <w:rsid w:val="00E37F7F"/>
    <w:rsid w:val="00E458B3"/>
    <w:rsid w:val="00E5280E"/>
    <w:rsid w:val="00E533E0"/>
    <w:rsid w:val="00E579BC"/>
    <w:rsid w:val="00E60E5D"/>
    <w:rsid w:val="00E62C5A"/>
    <w:rsid w:val="00E645E8"/>
    <w:rsid w:val="00E66ADD"/>
    <w:rsid w:val="00E74AA4"/>
    <w:rsid w:val="00E80188"/>
    <w:rsid w:val="00E8448C"/>
    <w:rsid w:val="00E85CFE"/>
    <w:rsid w:val="00E86914"/>
    <w:rsid w:val="00E932AD"/>
    <w:rsid w:val="00E94982"/>
    <w:rsid w:val="00E95854"/>
    <w:rsid w:val="00E95DE3"/>
    <w:rsid w:val="00E974F6"/>
    <w:rsid w:val="00EA229F"/>
    <w:rsid w:val="00EB247D"/>
    <w:rsid w:val="00EC0ED5"/>
    <w:rsid w:val="00EC19A6"/>
    <w:rsid w:val="00EC74E7"/>
    <w:rsid w:val="00ED2C30"/>
    <w:rsid w:val="00ED4B2D"/>
    <w:rsid w:val="00EE016A"/>
    <w:rsid w:val="00EE0DA1"/>
    <w:rsid w:val="00EE2E8C"/>
    <w:rsid w:val="00EE30E2"/>
    <w:rsid w:val="00EF5FED"/>
    <w:rsid w:val="00F0312B"/>
    <w:rsid w:val="00F04FB0"/>
    <w:rsid w:val="00F051FB"/>
    <w:rsid w:val="00F0612C"/>
    <w:rsid w:val="00F07CBE"/>
    <w:rsid w:val="00F16A86"/>
    <w:rsid w:val="00F2142C"/>
    <w:rsid w:val="00F22E00"/>
    <w:rsid w:val="00F24991"/>
    <w:rsid w:val="00F2765F"/>
    <w:rsid w:val="00F27811"/>
    <w:rsid w:val="00F27DBB"/>
    <w:rsid w:val="00F30636"/>
    <w:rsid w:val="00F334B5"/>
    <w:rsid w:val="00F42EE3"/>
    <w:rsid w:val="00F53DB0"/>
    <w:rsid w:val="00F56622"/>
    <w:rsid w:val="00F56FAC"/>
    <w:rsid w:val="00F60F3A"/>
    <w:rsid w:val="00F67D2A"/>
    <w:rsid w:val="00F71197"/>
    <w:rsid w:val="00F74BAB"/>
    <w:rsid w:val="00F7642E"/>
    <w:rsid w:val="00F80324"/>
    <w:rsid w:val="00F84953"/>
    <w:rsid w:val="00F86D48"/>
    <w:rsid w:val="00F921E4"/>
    <w:rsid w:val="00F925A2"/>
    <w:rsid w:val="00F958E0"/>
    <w:rsid w:val="00FA1219"/>
    <w:rsid w:val="00FA1784"/>
    <w:rsid w:val="00FA1D3D"/>
    <w:rsid w:val="00FA2C73"/>
    <w:rsid w:val="00FA3F1A"/>
    <w:rsid w:val="00FA4872"/>
    <w:rsid w:val="00FA5EBE"/>
    <w:rsid w:val="00FA658D"/>
    <w:rsid w:val="00FB2DF7"/>
    <w:rsid w:val="00FC3D6C"/>
    <w:rsid w:val="00FC6F24"/>
    <w:rsid w:val="00FD7F94"/>
    <w:rsid w:val="00FE6442"/>
    <w:rsid w:val="00FF43F8"/>
    <w:rsid w:val="01802A82"/>
    <w:rsid w:val="0329503C"/>
    <w:rsid w:val="035E2923"/>
    <w:rsid w:val="03786440"/>
    <w:rsid w:val="04336208"/>
    <w:rsid w:val="043D6F95"/>
    <w:rsid w:val="05467935"/>
    <w:rsid w:val="061D4D3B"/>
    <w:rsid w:val="0804772B"/>
    <w:rsid w:val="0A2A393B"/>
    <w:rsid w:val="0BBE0D35"/>
    <w:rsid w:val="0CA30002"/>
    <w:rsid w:val="0D7A3E92"/>
    <w:rsid w:val="0F267D27"/>
    <w:rsid w:val="0FD003D1"/>
    <w:rsid w:val="0FF44AB7"/>
    <w:rsid w:val="0FF521BC"/>
    <w:rsid w:val="10946FBB"/>
    <w:rsid w:val="121651CF"/>
    <w:rsid w:val="123D1FD9"/>
    <w:rsid w:val="12563A70"/>
    <w:rsid w:val="13916645"/>
    <w:rsid w:val="14BC5D3E"/>
    <w:rsid w:val="155C5DA2"/>
    <w:rsid w:val="16F14633"/>
    <w:rsid w:val="1CC90D78"/>
    <w:rsid w:val="1F012787"/>
    <w:rsid w:val="1F6A149A"/>
    <w:rsid w:val="2171056A"/>
    <w:rsid w:val="24DB4137"/>
    <w:rsid w:val="2AD96DF8"/>
    <w:rsid w:val="2BBF2BDC"/>
    <w:rsid w:val="2C2E7B1A"/>
    <w:rsid w:val="2CD57C4E"/>
    <w:rsid w:val="2E093F97"/>
    <w:rsid w:val="2E692241"/>
    <w:rsid w:val="2F514341"/>
    <w:rsid w:val="31315B2B"/>
    <w:rsid w:val="32B430F7"/>
    <w:rsid w:val="34D626E6"/>
    <w:rsid w:val="34F463BD"/>
    <w:rsid w:val="359512BF"/>
    <w:rsid w:val="35DA1C76"/>
    <w:rsid w:val="37BB5993"/>
    <w:rsid w:val="3999267E"/>
    <w:rsid w:val="3A83782F"/>
    <w:rsid w:val="3C3E15E3"/>
    <w:rsid w:val="3C7050BC"/>
    <w:rsid w:val="3E802BAF"/>
    <w:rsid w:val="3F6A0496"/>
    <w:rsid w:val="3F923BD9"/>
    <w:rsid w:val="412C5A7C"/>
    <w:rsid w:val="42924D45"/>
    <w:rsid w:val="451D1671"/>
    <w:rsid w:val="454B049A"/>
    <w:rsid w:val="46B34F8B"/>
    <w:rsid w:val="4E1B6731"/>
    <w:rsid w:val="4E834053"/>
    <w:rsid w:val="4E8F08CC"/>
    <w:rsid w:val="50C37619"/>
    <w:rsid w:val="50DF25AA"/>
    <w:rsid w:val="526A2243"/>
    <w:rsid w:val="52CB6777"/>
    <w:rsid w:val="566E1334"/>
    <w:rsid w:val="577C44E3"/>
    <w:rsid w:val="57D0331F"/>
    <w:rsid w:val="58847D4A"/>
    <w:rsid w:val="5A422C33"/>
    <w:rsid w:val="5ACD4095"/>
    <w:rsid w:val="5B032852"/>
    <w:rsid w:val="5B9C6858"/>
    <w:rsid w:val="5CC55303"/>
    <w:rsid w:val="5D0E6F7E"/>
    <w:rsid w:val="5E023994"/>
    <w:rsid w:val="602B2BF9"/>
    <w:rsid w:val="606F4B09"/>
    <w:rsid w:val="62333529"/>
    <w:rsid w:val="635D6F5A"/>
    <w:rsid w:val="66D128CA"/>
    <w:rsid w:val="68FB09C9"/>
    <w:rsid w:val="69AB2D6B"/>
    <w:rsid w:val="69DB11D1"/>
    <w:rsid w:val="6C064057"/>
    <w:rsid w:val="6C6454E2"/>
    <w:rsid w:val="6D71439B"/>
    <w:rsid w:val="6E930FFA"/>
    <w:rsid w:val="6EE5642B"/>
    <w:rsid w:val="6F4A0590"/>
    <w:rsid w:val="71047AFA"/>
    <w:rsid w:val="710D040A"/>
    <w:rsid w:val="718664D9"/>
    <w:rsid w:val="73234271"/>
    <w:rsid w:val="747C1A18"/>
    <w:rsid w:val="74C85C27"/>
    <w:rsid w:val="766845D2"/>
    <w:rsid w:val="78322C70"/>
    <w:rsid w:val="78325415"/>
    <w:rsid w:val="78C2167B"/>
    <w:rsid w:val="7A1828B6"/>
    <w:rsid w:val="7AF6094A"/>
    <w:rsid w:val="7B303FA7"/>
    <w:rsid w:val="7B3307AF"/>
    <w:rsid w:val="7B864900"/>
    <w:rsid w:val="7BF42DEB"/>
    <w:rsid w:val="7C297960"/>
    <w:rsid w:val="7C8D1CE5"/>
    <w:rsid w:val="7CD02F6F"/>
    <w:rsid w:val="7DA02AA7"/>
    <w:rsid w:val="7FA8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40F8-9C99-4B6C-94AF-AF527703C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1089</Words>
  <Characters>1237</Characters>
  <Lines>9</Lines>
  <Paragraphs>2</Paragraphs>
  <TotalTime>11</TotalTime>
  <ScaleCrop>false</ScaleCrop>
  <LinksUpToDate>false</LinksUpToDate>
  <CharactersWithSpaces>1243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2023-09-07T03:29:00Z</dcterms:created>
  <dc:creator>User</dc:creator>
  <cp:lastModifiedBy>王晓囡</cp:lastModifiedBy>
  <cp:lastPrinted>2023-09-06T06:03:00Z</cp:lastPrinted>
  <dcterms:modified xsi:type="dcterms:W3CDTF">2023-11-23T09:49:45Z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342608C94158471EA1803BC324386A81_13</vt:lpwstr>
  </property>
</Properties>
</file>