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rFonts w:ascii="微软雅黑" w:hAnsi="微软雅黑" w:eastAsia="微软雅黑" w:cs="Calibri"/>
          <w:sz w:val="22"/>
          <w:szCs w:val="24"/>
        </w:rPr>
      </w:pPr>
      <w:bookmarkStart w:id="0" w:name="_GoBack"/>
      <w:bookmarkEnd w:id="0"/>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7"/>
        <w:rPr>
          <w:rFonts w:ascii="微软雅黑" w:hAnsi="微软雅黑" w:eastAsia="微软雅黑" w:cs="Calibri"/>
          <w:b/>
          <w:i/>
          <w:sz w:val="22"/>
          <w:szCs w:val="24"/>
        </w:rPr>
      </w:pPr>
      <w:r>
        <w:rPr>
          <w:rFonts w:hint="eastAsia" w:ascii="微软雅黑" w:hAnsi="微软雅黑" w:eastAsia="微软雅黑" w:cs="Calibri"/>
          <w:b/>
          <w:sz w:val="22"/>
          <w:szCs w:val="24"/>
        </w:rPr>
        <w:t>制作日期：</w:t>
      </w:r>
      <w:r>
        <w:rPr>
          <w:rFonts w:ascii="微软雅黑" w:hAnsi="微软雅黑" w:eastAsia="微软雅黑" w:cs="Calibri"/>
          <w:b/>
          <w:sz w:val="22"/>
          <w:szCs w:val="24"/>
        </w:rPr>
        <w:t xml:space="preserve">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2022/12/23</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隔夜夜盘市场走势</w:t>
      </w:r>
    </w:p>
    <w:p>
      <w:pPr>
        <w:keepNext w:val="0"/>
        <w:keepLines w:val="0"/>
        <w:pageBreakBefore w:val="0"/>
        <w:widowControl/>
        <w:kinsoku/>
        <w:wordWrap/>
        <w:overflowPunct/>
        <w:topLinePunct w:val="0"/>
        <w:autoSpaceDE/>
        <w:autoSpaceDN/>
        <w:bidi w:val="0"/>
        <w:adjustRightInd/>
        <w:snapToGrid/>
        <w:spacing w:after="120" w:line="288" w:lineRule="auto"/>
        <w:ind w:firstLine="480" w:firstLineChars="200"/>
        <w:jc w:val="left"/>
        <w:textAlignment w:val="auto"/>
        <w:rPr>
          <w:rFonts w:hint="eastAsia" w:ascii="仿宋" w:hAnsi="仿宋" w:eastAsia="仿宋" w:cs="仿宋"/>
          <w:sz w:val="24"/>
          <w:szCs w:val="28"/>
        </w:rPr>
      </w:pPr>
      <w:r>
        <w:rPr>
          <w:rFonts w:hint="eastAsia" w:ascii="仿宋" w:hAnsi="仿宋" w:eastAsia="仿宋" w:cs="仿宋"/>
          <w:sz w:val="24"/>
          <w:szCs w:val="28"/>
        </w:rPr>
        <w:t>国内商品期货夜盘收盘多数下跌。焦炭、纯碱、沪银、焦煤、铁矿石跌超2%。涨幅方面，淀粉涨超1%。</w:t>
      </w:r>
    </w:p>
    <w:p>
      <w:pPr>
        <w:keepNext w:val="0"/>
        <w:keepLines w:val="0"/>
        <w:pageBreakBefore w:val="0"/>
        <w:widowControl/>
        <w:kinsoku/>
        <w:wordWrap/>
        <w:overflowPunct/>
        <w:topLinePunct w:val="0"/>
        <w:autoSpaceDE/>
        <w:autoSpaceDN/>
        <w:bidi w:val="0"/>
        <w:adjustRightInd/>
        <w:snapToGrid/>
        <w:spacing w:after="120" w:line="288" w:lineRule="auto"/>
        <w:ind w:firstLine="480" w:firstLineChars="200"/>
        <w:jc w:val="left"/>
        <w:textAlignment w:val="auto"/>
        <w:rPr>
          <w:rFonts w:hint="eastAsia" w:ascii="仿宋" w:hAnsi="仿宋" w:eastAsia="仿宋" w:cs="仿宋"/>
          <w:sz w:val="24"/>
          <w:szCs w:val="28"/>
        </w:rPr>
      </w:pPr>
      <w:r>
        <w:rPr>
          <w:rFonts w:hint="eastAsia" w:ascii="仿宋" w:hAnsi="仿宋" w:eastAsia="仿宋" w:cs="仿宋"/>
          <w:sz w:val="24"/>
          <w:szCs w:val="28"/>
        </w:rPr>
        <w:t>国际期货主力合约全线下跌。CBOT农产品期货主力合约全线收跌，大豆期货跌0.79%，玉米期货跌0.34%，小麦期货跌0.88%，豆粕跌1.10%，豆油跌1.13%。LME基本金属全线下跌，LME铜跌1.66%，LME锌跌2.11%，LME镍跌1.41%，LME铝跌0.15%，LME锡跌0.93%，LME铅跌1.08%。</w:t>
      </w:r>
    </w:p>
    <w:p>
      <w:pPr>
        <w:spacing w:after="120" w:line="288" w:lineRule="auto"/>
        <w:jc w:val="left"/>
        <w:rPr>
          <w:rFonts w:hint="eastAsia" w:ascii="仿宋" w:hAnsi="仿宋" w:eastAsia="仿宋" w:cs="仿宋"/>
          <w:sz w:val="24"/>
          <w:szCs w:val="28"/>
        </w:rPr>
      </w:pPr>
    </w:p>
    <w:p>
      <w:pPr>
        <w:spacing w:after="120" w:line="288" w:lineRule="auto"/>
        <w:ind w:firstLine="480"/>
        <w:jc w:val="center"/>
        <w:rPr>
          <w:rFonts w:ascii="微软雅黑" w:hAnsi="微软雅黑" w:eastAsia="微软雅黑" w:cs="Calibri"/>
          <w:b/>
          <w:smallCaps/>
          <w:color w:val="112845"/>
          <w:sz w:val="32"/>
          <w:szCs w:val="36"/>
        </w:rPr>
      </w:pPr>
      <w:r>
        <w:rPr>
          <w:rFonts w:ascii="微软雅黑" w:hAnsi="微软雅黑" w:eastAsia="微软雅黑" w:cs="Calibri"/>
          <w:b/>
          <w:smallCaps/>
          <w:color w:val="112845"/>
          <w:sz w:val="32"/>
          <w:szCs w:val="36"/>
        </w:rPr>
        <w:t>重要资讯</w:t>
      </w: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【宏观资讯】</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国务院联防联控机制医疗救治组：加强疫情形势监测，有序落实压峰措施</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国务院联防联控机制医疗救治组12月21日召开电视电话会议，部署全力做好新阶段新冠肺炎患者救治工作。会议要求，要及时转变工作思路，切实担负起责任。要加大指挥调度和投入力度，细化实化具体化配套方案措施，全力做好医疗资源统筹调配，加强疫情形势监测，有序落实压峰措施，关注舆情社情。要主动担当、积极作为、靠前一步，把各项准备工作做足做到位。</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广期所：未来产品设计聚焦四大板块，包括碳排放权、电力等战略储备品种</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广州期货交易所董事长胡政透露，关于未来产品设计，广期所的产品聚焦四大板块：一是绿色发展，包括碳排放权、电力等战略储备品种，以及锂、铂、钯、多晶硅、稀土等新能源金属品种；二是商品指数类，包括中证商品指数、能源化工指数、饲料养殖指数、钢厂利润指数等；三是具有粤港澳大湾区和“一带一路”特色的品种；四是国际市场互挂类品种。广期所计划在未来陆续上市更多新能源金属品种，并积极推动品种对外开放，逐步成为全球新能源金属的定价中心。</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国家发改委、国家能源局：规范有序做好2023年电力中长期合同签订履约工作</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国家发展改革委、国家能源局发布关于做好2023年电力中长期合同签订履约工作的通知。通知指出，坚持电力中长期合同高比例签约。市场化电力用户2023年年度中长期合同签约电量应高于上一年度用电量的80%，并通过后续季度、月度、月内合同签订，保障全年中长期合同签约电量高于上一年度用电量的90%。燃煤发电企业2023年年度中长期合同签约电量不低于上一年实际发电量的80%，月度（含月内）及以上合同签约电量不低于上一年实际发电量的90%。</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报道称中方将在明年1月3日调整入境隔离政策？外交部回应</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外交部发言人毛宁主持例行记者会。有记者提问，香港媒体报道称，北京将在1月3日后调整入境隔离政策，中方能否证实有关入境的防疫政策是否会调整？“我们将根据疫情形势的发展，不断优化便利跨境人员往来的各项安排。”毛宁回应道。</w:t>
      </w:r>
    </w:p>
    <w:p>
      <w:pPr>
        <w:spacing w:after="120" w:line="288" w:lineRule="auto"/>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国家发改委、国家能源局：完善市场价格形成机制</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国家发展改革委、国家能源局发布关于做好2023年电力中长期合同签订履约工作的通知。通知指出，引导市场交易电价充分反映成本变化。充分考虑燃料生产成本和发电企业承受能力，鼓励购售双方在中长期合同中设立交易电价与煤炭、天然气价格挂钩联动条款，引导形成交易电价随煤炭、天然气市场价格变化合理浮动机制，更好保障能源稳定供应。</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截至12月22日螺纹产量、库存调研统计</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据Mysteel，截至12月22日当周，产量连续两周下滑，厂库由降转增，社库连续四周增加，表观消费由增转降。</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①螺纹产量276.94万吨，较上周减少7.99万吨，降幅2.80%；</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②螺纹厂库177.24万吨，较上周增加8.88万吨，增幅5.27%；</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③螺纹社库366.80万吨，较上周增加1.85万吨，增幅0.51%；</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④螺纹表需266.21万吨，较上周减少32.16万吨，降幅10.78%。</w:t>
      </w:r>
    </w:p>
    <w:p>
      <w:pPr>
        <w:pStyle w:val="57"/>
        <w:numPr>
          <w:ilvl w:val="0"/>
          <w:numId w:val="0"/>
        </w:numPr>
        <w:spacing w:after="120" w:line="288" w:lineRule="auto"/>
        <w:ind w:leftChars="0"/>
        <w:jc w:val="left"/>
        <w:rPr>
          <w:rFonts w:hint="eastAsia" w:ascii="仿宋" w:hAnsi="仿宋" w:cs="仿宋"/>
          <w:b/>
          <w:bCs/>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12月22日山东市场主流钢厂对焦炭采购价上调100-110元/吨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1、准一级（湿熄）冶金焦：A≤13，S≤0.75，CSR≥60，CRI≤30，MT≤7，调整后执行省内2760元/吨，省外2770元/吨；</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2、准一级（干熄）冶金焦：A≤13，S≤0.75，CSR≥60，CRI≤30，MT0，调整后执行3160元/吨，不分省内外；</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3、二级冶金焦：A≤13.5，S≤0.8，CSR≥58，MT≤7，调整后执行2700元/吨；以上均为基价，到厂承兑含税价，2022年12月22日0时起执行。</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12月22日河北市场钢厂对焦炭采购价上调100/110元/吨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调整后，一级湿熄焦（A≤12.5，S≤0.7，CSR≥65，MT≤7），报2960元/吨；一级干熄焦（A≤12.5，S≤0.7，CSR≥65，MT≤0），报3345元/吨；中硫湿熄焦（A≤13，S≤1，CSR≥60，MT≤7），报2760元/吨；以上均为到厂承兑含税价，22日0时起执行。</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世界钢铁协会：2022年11月全球粗钢产量同比下降2.6%</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世界钢铁协会公布数据显示，2022年11月全球粗钢产量为1.391亿吨，同比下降2.6%。其中，中国11月粗钢产量为7450万吨，同比增长7.3%；印度11月粗钢产量为1040万吨，同比增加5.7%；日本11月粗钢产量为720万吨，同比下降了10.7%；美国11月粗钢产量640万吨，同比下降10.5%。</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山西加快推进煤炭增产保供，前11月产量已超去年全年</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记者22日从山西省统计局获悉，今年以来山西省坚定扛起保障国家能源安全重大使命，前11个月全省规模以上企业原煤产量119560.7万吨，已超过去年全年产量，预计今年山西省煤炭产量将超过13亿吨。据山西省统计局数据，2021年山西省规模以上企业原煤产量11.93亿吨，占全国产量的近1/3。（新华社）</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本周Mysteel钢厂煤焦数据</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本周Mysteel煤焦事业部调研全国30家独立焦化厂吨焦盈利情况，全国平均吨焦盈利52元/吨；山西准一级焦平均盈利79元/吨，山东准一级焦平均盈利92元/吨，内蒙二级焦平均盈利6元/吨，河北准一级焦平均盈利103元/吨。</w:t>
      </w:r>
    </w:p>
    <w:p>
      <w:pPr>
        <w:spacing w:after="120" w:line="288" w:lineRule="auto"/>
        <w:rPr>
          <w:rFonts w:hint="eastAsia" w:ascii="仿宋" w:hAnsi="仿宋" w:eastAsia="仿宋" w:cs="仿宋"/>
          <w:sz w:val="24"/>
          <w:szCs w:val="28"/>
        </w:rPr>
      </w:pPr>
    </w:p>
    <w:p>
      <w:pPr>
        <w:spacing w:after="120" w:line="288" w:lineRule="auto"/>
        <w:jc w:val="center"/>
        <w:rPr>
          <w:rFonts w:hint="eastAsia" w:ascii="仿宋" w:hAnsi="仿宋" w:eastAsia="仿宋" w:cs="仿宋"/>
          <w:b/>
          <w:bCs/>
          <w:i w:val="0"/>
          <w:iCs w:val="0"/>
          <w:sz w:val="24"/>
          <w:szCs w:val="28"/>
        </w:rPr>
      </w:pPr>
      <w:r>
        <w:rPr>
          <w:rFonts w:hint="eastAsia" w:ascii="仿宋" w:hAnsi="仿宋" w:eastAsia="仿宋" w:cs="仿宋"/>
          <w:b/>
          <w:bCs/>
          <w:i w:val="0"/>
          <w:iCs w:val="0"/>
          <w:sz w:val="24"/>
          <w:szCs w:val="28"/>
        </w:rPr>
        <w:t>【农产品期货】</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USDA公布截至12月15日美棉加工量数据</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①美国2021/22年度新棉加工量为1111.9万包，截至12月1日为921.6万包，去年同期为1223.5万包；</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②其中陆地棉为29.4万包，截至12月1日为22.3万包，去年同期为21.6万包；</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③其中皮马棉为1141.4万包，截至12月1日为943.9万包，去年同期为1245.1万包。</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截至12月16日美棉On-Call周报</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据美国商品期货交易委员会（CFTC）最新数据，截至12月16日，</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①美棉ON-call未点价卖出订单72101手，环比减少1342手；未点价买入订单43640手，环比增加2553手；</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②ICE期棉2212合约上卖方未点价合约为0手，较此前一周增加0手；</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③ICE期棉2303合约上卖方未点价合约为33278手，较此前一周减少2043手；</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④ICE期棉2305合约上卖方未点价合约为8559手，较此前一周增加342手；</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⑤ICE期棉2307合约上卖方未点价合约为18073手，较此前一周增加523手；</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⑥ICE棉花期货盘面2022/23年度（8月至次年7月）的ON-CAll合约未点价卖出订单为59910手，环比减少1178手。</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印尼预计2022年将出口3467万吨棕榈油</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印尼棕榈油基金（BPDPKS）首席执行官周四称，印尼2022年棕榈油出口预计为3467万吨，低于去年的3778万吨，部分因4月份暂时停止出口。随着印尼逐步放宽出口限制，其中包括所谓的国内市场义务，到2023年该国出口将恢复正常，达到3600-3800万吨。印尼2022年棕榈生物柴油消费量预计将达到1060万千升，高于去年的929万千升。印尼预计将从棕榈油出口专项税（levy）中获得34.5万亿卢比的收入。</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机构：预计12月1-20日马来西亚棕榈油产量减少</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①据南部半岛棕榈油压榨商协会（SPPOMA）数据显示，2022年12月1-20日马来西亚棕榈油单产减少1.63%，出油率增加0.06%，产量减少1.31%。</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②据马来西亚棕榈油协会（MPOA）发布的数据，马来西亚12月1-20日棕榈油产量预估减3.87%，其中马来半岛减6.55%，马来东部增0.40%，沙巴减0.98%，沙捞越增4.72%。</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USDA调降印尼2022/23年度棕榈油产量预估至4470万吨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外媒报道，美国农业部（USDA）已经调降印尼2022/23年度棕榈油产量预估至4470万吨，因该国在实行棕榈油出口限制后，产量损失高于预期。美国农业部下属的海外农业服务网（FAS）在报告中称，化肥使用量的持续下降也影响了产量，而加里曼丹8—9月份的洪水也中断物流和推迟收割。USDA还预计，印尼2021/22年度棕榈油产量为4320万吨。由于海外市场生物柴油生产需求增加，印尼2022/23年度棕榈油消费量预计将增至1050万吨，2021/22年度为1000万吨。美国农业部称，棕榈油柴油和石化柴油价格之间的价差缩窄，刺激了今年数个出口市场的自由调配。印尼政府将出口免税额从2022年7月中旬延长至12月底，同样导致工业需求的持续增长。此外，政府的B40采用计划正处于道路测试阶段，预计将于2022年12月结束，并会发表一份技术报告。</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截至12月15日当周，美豆出口净销售不及预期</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美国农业部：截至12月15日当周美国大豆出口净销售数据</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①美国2022/2023年度大豆出口净销售为73.6万吨，前一周为294.3万吨；2023/2024年度大豆净销售14万吨，前一周为0万吨；</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②美国2022/2023年度大豆出口装船199万吨，前一周为184.6万吨；</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③美国2022/2023年度对中国大豆净销售55.1万吨，前一周为125.3万吨；2023/2024年度对中国大豆净销售0万吨，前一周为0万吨；</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④美国2022/2023年度对中国大豆累计销售2524.5万吨，前一周为2469.4万吨；</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⑤美国2022/2023年度对中国大豆出口装船148万吨，前一周为105.9万吨；</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⑥美国2022/2023年度对中国大豆累计装船1751.2万吨，前一周为1603.1万吨；</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⑦美国2022/2023年度对中国大豆未装船为773.3万吨，前一周为866.3万吨；2023/2024年度对中国大豆未装船为3万吨，前一周为3万吨。</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据外媒调查的交易商预期值，截至2022年12月15日当周，预计美国2022/23市场年度大豆出口净销售料介于80-125万吨；2023/24市场年度大豆出口净销售料为0-15万吨。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德国2023年油菜籽种植面积有望扩大7.6%</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外媒报道，德国国家统计局周四预估，2023年德国冬小麦播种面积将缩减约1.9%至280万公顷；油菜籽种植面积则有望扩大7.6%至120万公顷。统计局称，种植油菜籽变得更吸引人，尤其是在2021年加拿大歉收和乌克兰战乱导致价格飙升后。此外，预计德国冬季大麦播种面积料扩大5.1%至130万公顷。饲用黑小麦播种面积料缩减5.9%至30.49万公顷，燕麦和其他冬季谷物种植面积料扩大4.3%至61.29万公顷。</w:t>
      </w:r>
    </w:p>
    <w:p>
      <w:pPr>
        <w:spacing w:after="120" w:line="288" w:lineRule="auto"/>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玻璃样本企业库存创逾8个月新低，下游补库放缓</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截止12月22日，全国浮法玻璃样本企业总库存环比下降2.54%至6724.5万重箱，创今年4月中旬以来新低，同比增加89.14%，折库存天数减少0.7天至29.6天。随着疫情大面积爆发，下游企业补货放缓，产销略有下降。</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新加坡燃油库存增至2140.3万桶的六周新高</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新加坡企业发展局（ESG）数据显示，截至12月21日当周，新加坡燃油库存增加131.4万桶，达到2140.3万桶的六周新高；新加坡轻质馏分油库存增加212.8万桶，达到1581.9万桶的两个月高点；新加坡中馏分油库存增加21.8万桶，达到717.1万桶的三周新高。</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制裁可能会使俄罗斯从波罗的海出口的石油减少20%</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根据交易商和路透的计算，在西方石油价格上限和欧盟对俄罗斯石油禁运生效后，12月俄罗斯乌拉尔混合原油的出口可能从11月的600万吨降至500万吨左右，降幅多达五分之一，甚至可能会降至470万吨。交易员们表示，俄罗斯一直无法将乌拉尔原油的出口完全从欧洲转向其他市场，尤其是印度，而且俄罗斯一直难以找到足够多的合适船只运输原油。12月，愿意购买乌拉尔原油的国家数量下降到四个，包括保加利亚、印度和土耳其。</w:t>
      </w:r>
    </w:p>
    <w:p>
      <w:pPr>
        <w:spacing w:after="120" w:line="288" w:lineRule="auto"/>
        <w:jc w:val="center"/>
        <w:rPr>
          <w:rFonts w:hint="eastAsia" w:ascii="仿宋" w:hAnsi="仿宋" w:eastAsia="仿宋" w:cs="仿宋"/>
          <w:sz w:val="24"/>
          <w:szCs w:val="28"/>
        </w:rPr>
      </w:pPr>
      <w:r>
        <w:rPr>
          <w:rFonts w:hint="eastAsia" w:ascii="仿宋" w:hAnsi="仿宋" w:eastAsia="仿宋" w:cs="仿宋"/>
          <w:sz w:val="24"/>
          <w:szCs w:val="28"/>
        </w:rPr>
        <w:t>【金属期货】</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ICSG：2022年10月全球铜市场供应过剩4.6万吨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lang w:val="en-US"/>
        </w:rPr>
      </w:pPr>
      <w:r>
        <w:rPr>
          <w:rFonts w:hint="eastAsia" w:ascii="仿宋" w:hAnsi="仿宋" w:eastAsia="仿宋" w:cs="仿宋"/>
          <w:sz w:val="24"/>
          <w:szCs w:val="28"/>
        </w:rPr>
        <w:t>国际铜业研究组织（ICSG）在最新发布的月度报告中称，2022年10月全球精炼铜市场供应过剩46000吨，9月为短缺85000吨。全球10月精炼铜产量为220万吨，消费量为216万吨。ICSG表示，今年前10个月，精炼铜市场短缺30.7万吨，之前一年同期为短缺27.1万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ab/>
      </w:r>
    </w:p>
    <w:p>
      <w:pPr>
        <w:pStyle w:val="57"/>
        <w:numPr>
          <w:ilvl w:val="0"/>
          <w:numId w:val="1"/>
        </w:numPr>
        <w:spacing w:after="120" w:line="288" w:lineRule="auto"/>
        <w:ind w:firstLineChars="0"/>
        <w:jc w:val="left"/>
        <w:rPr>
          <w:rFonts w:hint="eastAsia" w:ascii="仿宋" w:hAnsi="仿宋" w:cs="仿宋"/>
          <w:b/>
          <w:bCs/>
          <w:sz w:val="24"/>
          <w:szCs w:val="28"/>
        </w:rPr>
      </w:pPr>
      <w:r>
        <w:rPr>
          <w:rFonts w:hint="default" w:ascii="仿宋" w:hAnsi="仿宋" w:cs="仿宋"/>
          <w:b/>
          <w:bCs/>
          <w:sz w:val="24"/>
          <w:szCs w:val="28"/>
          <w:lang w:val="en-US"/>
        </w:rPr>
        <w:t>SMM:</w:t>
      </w:r>
      <w:r>
        <w:rPr>
          <w:rFonts w:hint="eastAsia" w:ascii="仿宋" w:hAnsi="仿宋" w:cs="仿宋"/>
          <w:b/>
          <w:bCs/>
          <w:sz w:val="24"/>
          <w:szCs w:val="28"/>
        </w:rPr>
        <w:t>国内锡库存刷年内新高，短期库存难大降</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近期，国内锡锭库存接连累库，海外LME锡库存却频频减少。12月9日国内分地区锡锭累库量为7305吨，触年内最高。现阶段进口盈利窗口维持关闭，市场弹性需求表现相对疲软，受此影响12月国内精炼锡净进口量或将大幅回落，短期国内库存大幅去库可能性较小，LME锡去库量或减少，维持在较平稳的水平。</w:t>
      </w:r>
    </w:p>
    <w:p>
      <w:pPr>
        <w:pStyle w:val="57"/>
        <w:numPr>
          <w:ilvl w:val="0"/>
          <w:numId w:val="0"/>
        </w:numPr>
        <w:spacing w:after="120" w:line="288" w:lineRule="auto"/>
        <w:ind w:leftChars="0"/>
        <w:jc w:val="left"/>
        <w:rPr>
          <w:rFonts w:hint="eastAsia" w:ascii="仿宋" w:hAnsi="仿宋" w:cs="仿宋"/>
          <w:b/>
          <w:bCs/>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default" w:ascii="仿宋" w:hAnsi="仿宋" w:cs="仿宋"/>
          <w:b/>
          <w:bCs/>
          <w:sz w:val="24"/>
          <w:szCs w:val="28"/>
          <w:lang w:val="en-US"/>
        </w:rPr>
        <w:t>SME</w:t>
      </w:r>
      <w:r>
        <w:rPr>
          <w:rFonts w:hint="eastAsia" w:ascii="仿宋" w:hAnsi="仿宋" w:cs="仿宋"/>
          <w:b/>
          <w:bCs/>
          <w:sz w:val="24"/>
          <w:szCs w:val="28"/>
          <w:lang w:val="en-US" w:eastAsia="zh-CN"/>
        </w:rPr>
        <w:t>：</w:t>
      </w:r>
      <w:r>
        <w:rPr>
          <w:rFonts w:hint="eastAsia" w:ascii="仿宋" w:hAnsi="仿宋" w:cs="仿宋"/>
          <w:b/>
          <w:bCs/>
          <w:sz w:val="24"/>
          <w:szCs w:val="28"/>
        </w:rPr>
        <w:t>镍价延续上涨，市场交投冷清</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宏观方面，美国12月消费信息指数为108.3，超出预期的101，同时美国12月一年消费者通货膨胀率预期6.7%，创下一年多来的最低水平，有色金属价格普涨。目前精炼镍进口方面延续亏损状态，国内现货货源仍然偏紧，对沪镍价格下方支撑较强。但下游需求仍较疲软，市场整体交投情况不佳。</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default" w:ascii="仿宋" w:hAnsi="仿宋" w:cs="仿宋"/>
          <w:b/>
          <w:bCs/>
          <w:sz w:val="24"/>
          <w:szCs w:val="28"/>
          <w:lang w:val="en-US"/>
        </w:rPr>
        <w:t>SME</w:t>
      </w:r>
      <w:r>
        <w:rPr>
          <w:rFonts w:hint="eastAsia" w:ascii="仿宋" w:hAnsi="仿宋" w:cs="仿宋"/>
          <w:b/>
          <w:bCs/>
          <w:sz w:val="24"/>
          <w:szCs w:val="28"/>
          <w:lang w:val="en-US" w:eastAsia="zh-CN"/>
        </w:rPr>
        <w:t>：</w:t>
      </w:r>
      <w:r>
        <w:rPr>
          <w:rFonts w:hint="eastAsia" w:ascii="仿宋" w:hAnsi="仿宋" w:cs="仿宋"/>
          <w:b/>
          <w:bCs/>
          <w:sz w:val="24"/>
          <w:szCs w:val="28"/>
        </w:rPr>
        <w:t>铝市高开低走，需求难见起色</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印尼禁止出口铝土矿的消息一度推动铝市反弹，不过今日工业品重归弱势，沪铝高开低走再度承压。短期警惕市场开始交易弱现实逻辑，后续下游面临集体停工局面，铝锭价格上方存一定压力，强预期弱现实局面或将维持。</w:t>
      </w:r>
    </w:p>
    <w:p>
      <w:pPr>
        <w:spacing w:after="120" w:line="288" w:lineRule="auto"/>
        <w:rPr>
          <w:rFonts w:hint="eastAsia" w:ascii="仿宋" w:hAnsi="仿宋" w:eastAsia="仿宋" w:cs="仿宋"/>
          <w:sz w:val="24"/>
          <w:szCs w:val="28"/>
        </w:rPr>
      </w:pPr>
    </w:p>
    <w:p>
      <w:pPr>
        <w:spacing w:after="120" w:line="288" w:lineRule="auto"/>
        <w:rPr>
          <w:rFonts w:hint="default" w:ascii="Helvetica" w:hAnsi="Helvetica" w:eastAsia="Helvetica" w:cs="Helvetica"/>
          <w:i w:val="0"/>
          <w:iCs w:val="0"/>
          <w:caps w:val="0"/>
          <w:color w:val="100B19"/>
          <w:spacing w:val="0"/>
          <w:sz w:val="19"/>
          <w:szCs w:val="19"/>
          <w:shd w:val="clear" w:fill="FFFFFF"/>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88" w:lineRule="auto"/>
        <w:rPr>
          <w:rFonts w:ascii="微软雅黑" w:hAnsi="微软雅黑" w:eastAsia="微软雅黑" w:cs="Calibri"/>
          <w:b/>
          <w:smallCaps/>
          <w:color w:val="112845"/>
          <w:sz w:val="32"/>
          <w:szCs w:val="36"/>
        </w:rPr>
      </w:pPr>
    </w:p>
    <w:p>
      <w:pPr>
        <w:pStyle w:val="23"/>
        <w:numPr>
          <w:ilvl w:val="0"/>
          <w:numId w:val="2"/>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r>
        <w:rPr>
          <w:rFonts w:eastAsia="仿宋" w:cs="Calibri"/>
          <w:sz w:val="24"/>
          <w:szCs w:val="28"/>
        </w:rPr>
        <w:t> </w:t>
      </w:r>
      <w:r>
        <w:rPr>
          <w:rFonts w:hint="eastAsia" w:ascii="仿宋" w:hAnsi="仿宋" w:eastAsia="仿宋" w:cs="仿宋"/>
          <w:sz w:val="24"/>
          <w:szCs w:val="28"/>
        </w:rPr>
        <w:t xml:space="preserve"> </w:t>
      </w:r>
      <w:r>
        <w:rPr>
          <w:rFonts w:eastAsia="仿宋" w:cs="Calibri"/>
          <w:sz w:val="24"/>
          <w:szCs w:val="28"/>
        </w:rPr>
        <w:t> </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1、ETF跨境投资版图再扩大。境内首只可投韩国股票的ETF——华泰柏瑞中韩半导体ETF（513310）12月22日重磅上市，填补此前中国公募基金系统性投资韩国市场空白，当日同时有4只中韩合编指数ETF在韩交所上市。</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2、12月21日，南方中证500ETF份额达到100.01亿份，首度突破100亿份，以当日基金单位净值估算，基金规模达到586.85亿元，仅次于华泰柏瑞沪深300ETF位居股票型ETF第二位，华夏上证50ETF居于第三位。</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3、《成渝共建西部金融中心规划联合实施细则》提出，加快建设立足中国西部、面向东亚和东南亚、南亚，服务共建“一带一路”国家和地区的西部金融中心。</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4、首批普惠小微贷款阶段性减息资金落地上海，5100万元真金白银及时送达小微企业手中，惠及市场主体9200余户，户均减息金额超过5500元，小微企业得到实实在在实惠。</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5、俄罗斯央行表示，已同意以3400亿卢布（47亿美元）价格将Otkritie银行出售给该国第二大银行俄罗斯外贸银行。</w:t>
      </w: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楼市</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自然资源部强调，通盘谋划明年乃至今后一个时期自然资源工作。紧紧围绕“稳地价、稳房价、稳预期”总体目标，适时完善现行住宅用地供应政策。规范住宅用地供应信息公开，下大力气推动转变城市土地开发利用方式。</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2、AMC加速推进房地产市场风险化解工作。截至目前，四大全国性AMC中已有3家发布纾困房企数据。中国华融、中国东方资产、中国信达已累计推动及已落地房企纾困项目65个，带动复工复产项目规模超过1500亿元。</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南京市继续降低购房门槛，外地人购房不再需要社保和个税。自2022年10月1日至2023年12月31日，南京市对出售自有住房并在现住房出售后1年内在市场重新购买住房的纳税人，对其出售现住房已缴纳的个人所得税予以退税优惠。</w:t>
      </w: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产业</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国家发改委、国家能源局要求，做好2023年电力中长期合同签订履约工作。坚持电力中长期合同高比例签约。市场化电力用户2023年年度中长期合同签约电量应高于上一年度用电量80%，并通过后续季度、月度、月内合同签订，保障全年中长期合同签约电量高于上一年度用电量90%。高耗能企业交易价格不受燃煤基准价上浮20%限制。积极探索推进中长期交易向日延伸，加快推动中长期交易连续运营。2023年各地应做到按周或旬常态化开市。</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 xml:space="preserve">2、国家药监局要求，进一步加强疫情防控药品质量安全监管，保障药品安全形势总体稳定。截至目前，国家药监局已批准44个新冠病毒抗原检测试剂产品。  </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3、今年北京第二批拟推介项目共计101个，总投资2093亿元。目前已有84个项目明确拟引入社会资本额度，共计866.9亿元，涉及科技创新及高精尖产业等7大行业领域。</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4、中国服装协会发布数据显示，今年1-10月，服装行业生产增速持续放缓，但服装行业内销市场保持恢复、投资保持较快增长，并且对一带一路沿线国家和地区、拉丁美洲以及大洋洲服装出口继续保持快速增长。</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5、山西省鼓励全省A级景区2023年上半年在本景区线上平台预售2023年全年首道门优惠门票，优惠幅度在八折及以上的，省级财政按照门票实际销售价格20%给予补贴。</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6、陕西省将234种新冠用药临时纳入医保支付范围临时纳入医保支付范围，医保支付至2023年6月30日，保障确诊和疑似患者用药。</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7、操作系统产业峰会2022将在12月28日-29日举行。根据会议日程，工信部副部长王江平将致辞。</w:t>
      </w: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海外</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欧洲央行副行长金多斯表示，未来两三个月时间里，通胀率将在目前水平附近徘徊；到2023年第二季度，通胀率预计将下降到7%左右；加息50个基点可能会成为近期新常态，预计一段时间内将以这种速度提高利率。</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2、日本政府将2023财年经济增速预测上调至1.5%，7月份预测为1.1%；2023财年总体CPI预测维持在1.7%不变。</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3、德国财政部预计，德国经济活动将在今年第四季度和明年第一季度保持低迷，2023年通货膨胀率将下降。</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4、韩国副总理秋庆镐表示，因能源价格大幅上涨，韩国电力公社和韩国天然气公社亏损持续扩大，债务结构必须改善，明年费用将进行较大幅度调整，具体上调幅度和时间将于下周公布。</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5、美国第三季度GDP被大幅上修。美国第三季度实际GDP年化季环比终值升3.2%，预期升2.9%，修正值升2.9%，初值升2.6%；三季度实际个人消费支出终值环比升2.3%，为2021年第四季度以来新高。美国第三季度核心PCE物价指数终值环比升4.7%，预期升4.6%，修正值升4.6%，初值升4.5%；同比升4.9%，修正值和初值均升4.9%。</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6、美国个人储蓄率接近历史低点。美国经济分析局发布报告显示，美国10月个人储蓄率为2.3%，已接近2005年7月出现的历史最低点2.1%。近8成美国民众抱怨，高通胀造成的高物价让存钱变得很难。</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7、美国上周初请失业金人数为21.6万人，预期22.2万人，前值从21.1万人修正为21.4万人。美国12月10日当周续请失业金人数为167.2万人，预期168.3万人，前值从167.1万人修正为167.8万人。</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8、欧盟委员会批准一项30亿欧元波兰经济支持计划，在欧洲能源危机背景下，波兰政府向欧盟申请该计划以支持本国经济。</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9、英国第三季度GDP终值同比增1.9%，预期增2.4%，初值增2.4%；环比终值降0.3%，预期降0.2%，初值降0.2%。三季度英国家庭实际可支配收入下降0.5%，为连续第四个季度负增长。</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10、印尼央行将7天逆回购利率上调25个基点至5.5%，符合市场预期。印尼央行预计，2023年货币政策将以稳定为重点，将发行新的外汇工具，鼓励出口商将收益留在国内。</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11、土耳其央行维持一周回购利率在9%不变，符合市场预期。土耳其央行预计,采取措施后，通货紧缩进程将开始,当前政策利率水平足够。</w:t>
      </w: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国际股市</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1、特斯拉在美国打起“价格战”，2022年12月21日至31日期间交付的Model3和Model Y，可获得7500美元折扣，较之前高出一倍，还可获得最高1万英里免费超级充电服务。与此同时，德银下调特斯拉Q4交付量预期，需求阴云笼罩明年。</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2、谷歌母公司Alphabet表示，已批准向首席执行官桑达尔?皮查伊（Sundar Pichai）授予新的股权激励，并将其薪酬更进一步地与绩效挂钩。</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3、英特尔准备将图形芯片部门一分为二，以便更好与英伟达、AMD竞争。</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4、马士基集团宣布，自2023年1月1日起，现任马士基海运与物流业务首席执行官柯文胜（Vincent Clerc）将担任A.P.穆勒-马士基首席执行官。</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5、现代汽车美国法人（HMA）表示，现代汽车在美国累计销量突破1500万大关，这是现代汽车1986年进军美国市场后时隔36年创下的佳绩。</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6、宝马集团和固态电池初创公司Solid Power正在扩大其联合开发伙伴关系。据悉，宝马集团在德国为Solid Power原型硫化物基固态电池单元开设一条试验性生产线。</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7、三星电子推出DDR5 DRAM，为抢占逐渐扩大的DDR5市场。三星计划从明年开始批量生产，并向数据中心和人工智能（AI）等客户供货。</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8、美国国家公路交通安全管理局：美国对特斯拉汽车展开了两项新的特别事故调查，事故中司机疑似使用了驾驶辅助系统。</w:t>
      </w: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商品</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1、自然资源部宣布，全面启动新一轮战略性矿产国内找矿行动，加大重点勘查区找矿力度，加大油气等能源资源勘探开发和增储力度，增强国内矿产资源保障能力。</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2、全国碳市场成交额突破百亿元。据悉，全国碳市场正式上线以来，共运行350个交易日，碳排放配额累计成交量2.23亿吨，累计成交额101.21亿元。</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3、上金所表示，继续免收2023年国际会员及国际客户仓储费等费用，免收2023年白银交割费、白银运保费等费用。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4、中国保险行业协会正式发布《中国保险行业协会能繁母猪养殖保险行业示范条款》等三个示范条款，引导行业发挥自身优势，促进农业保险高质量发展，持续强化保险业服务“三农”能力。</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5、世界钢铁协会公布数据显示，11月全球粗钢产量为1.391亿吨，同比下降2.6%。其中，中国粗钢产量为7450万吨，增长7.3%。</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6、巴西外贸委员会发布对原产于中国的铝板产品反补贴案终裁公告，决定征收14.88%至14.93%的反补贴税，为期5年，但出于公共利益考虑，自措施生效起暂停征税至2023年3月31日。</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7、根据贸易商计算，由于欧盟禁运和价格上限，12月波罗的海港口俄罗斯乌拉尔原油出口量预计将下降20%。</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8、波罗的海干散货指数跌4.24%，报1650点。</w:t>
      </w: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债券</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银行间主要利率债收益率普遍下行，中短券表现更好。国债期货多数小幅收涨，10年期主力合约接近收平，5年期涨0.02%，2年期涨0.01%。银行间流动性依旧整体宽松，隔夜回购加权利率续跌逾17bp报在0.7%附近，创近两年新低。</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2、中证转债指数收跌0.43%，成交金额510.67亿元，万得可转债等权指数跌0.52%，逾八成转债下跌，横河转债跌近15%，；盘龙转债涨20%，“N福22转”涨近19%，“N宏图转”涨超17%，尚荣转债涨超13%。</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3、2023年全国银行间债券市场节假日休市安排出炉：2023年1月1日至1月2日休市二天，2022年12月31日（星期六）业务安排另行通知；2023年1月28日（星期六）、1月29日（星期日）债券交易、清算和结算业务正常进行。</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4、草案文件显示，日本政府计划在2023/24财年基于日程发行价值约190万亿日元国债，同时削减短期债券发行。</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5、日本央行12月23日起以固定利率无限额购买5-10年期日本国债；12月23日起直接购买6750亿日元5-10年期日本国债以及6500亿日元3-5年期日本国债。</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6、工行300亿元二级资本债券发行完毕；万科拟发行37亿元中期票据；“22桐投债02”“22许昌投资MTN003”“22金汇五金SCP003”等多只债券取消发行；汽车制造商雷诺发行2100亿日元债券，票面利率为2.80%.</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外汇</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1、周四在岸人民币兑美元16:30收盘报6.9793，较上一交易日下跌94个基点；23:30夜盘收报6.9876，下跌66个基点；人民币兑美元中间价报6.9713，调贬63个基点。</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2、美国银行表示，尽管最近有所下跌，美元仍被严重高估，美元应该会在2023年下跌，但不会是直线式下跌。</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3、韩国外汇市场将于2022年12月30日闭市，于2023年1月2日上午10点重新开市。</w:t>
      </w:r>
    </w:p>
    <w:p>
      <w:pPr>
        <w:spacing w:after="120" w:line="288" w:lineRule="auto"/>
        <w:rPr>
          <w:rFonts w:hint="eastAsia" w:ascii="仿宋" w:hAnsi="仿宋" w:eastAsia="仿宋" w:cs="仿宋"/>
          <w:sz w:val="24"/>
          <w:szCs w:val="28"/>
        </w:rPr>
      </w:pPr>
    </w:p>
    <w:p>
      <w:pPr>
        <w:jc w:val="both"/>
        <w:rPr>
          <w:rFonts w:ascii="微软雅黑" w:hAnsi="微软雅黑" w:eastAsia="微软雅黑" w:cs="微软雅黑"/>
          <w:b/>
          <w:bCs/>
          <w:i w:val="0"/>
          <w:iCs w:val="0"/>
          <w:caps w:val="0"/>
          <w:color w:val="333333"/>
          <w:spacing w:val="0"/>
          <w:sz w:val="24"/>
          <w:szCs w:val="24"/>
          <w:shd w:val="clear" w:fill="FFFFFF"/>
        </w:rPr>
      </w:pPr>
    </w:p>
    <w:p>
      <w:pPr>
        <w:jc w:val="center"/>
        <w:rPr>
          <w:rFonts w:ascii="微软雅黑" w:hAnsi="微软雅黑" w:eastAsia="微软雅黑" w:cs="微软雅黑"/>
          <w:b/>
          <w:bCs/>
          <w:i w:val="0"/>
          <w:iCs w:val="0"/>
          <w:caps w:val="0"/>
          <w:color w:val="333333"/>
          <w:spacing w:val="0"/>
          <w:sz w:val="24"/>
          <w:szCs w:val="24"/>
          <w:shd w:val="clear" w:fill="FFFFFF"/>
        </w:rPr>
      </w:pPr>
      <w:r>
        <w:rPr>
          <w:rFonts w:ascii="微软雅黑" w:hAnsi="微软雅黑" w:eastAsia="微软雅黑" w:cs="微软雅黑"/>
          <w:b/>
          <w:bCs/>
          <w:i w:val="0"/>
          <w:iCs w:val="0"/>
          <w:caps w:val="0"/>
          <w:color w:val="333333"/>
          <w:spacing w:val="0"/>
          <w:sz w:val="24"/>
          <w:szCs w:val="24"/>
          <w:shd w:val="clear" w:fill="FFFFFF"/>
        </w:rPr>
        <w:drawing>
          <wp:inline distT="0" distB="0" distL="114300" distR="114300">
            <wp:extent cx="4319905" cy="8398510"/>
            <wp:effectExtent l="0" t="0" r="8255" b="13970"/>
            <wp:docPr id="3" name="图片 3" descr="微信图片_20221222080948"/>
            <wp:cNvGraphicFramePr/>
            <a:graphic xmlns:a="http://schemas.openxmlformats.org/drawingml/2006/main">
              <a:graphicData uri="http://schemas.openxmlformats.org/drawingml/2006/picture">
                <pic:pic xmlns:pic="http://schemas.openxmlformats.org/drawingml/2006/picture">
                  <pic:nvPicPr>
                    <pic:cNvPr id="3" name="图片 3" descr="微信图片_20221222080948"/>
                    <pic:cNvPicPr/>
                  </pic:nvPicPr>
                  <pic:blipFill>
                    <a:blip r:embed="rId8"/>
                    <a:stretch>
                      <a:fillRect/>
                    </a:stretch>
                  </pic:blipFill>
                  <pic:spPr>
                    <a:xfrm>
                      <a:off x="0" y="0"/>
                      <a:ext cx="4319905" cy="8398510"/>
                    </a:xfrm>
                    <a:prstGeom prst="rect">
                      <a:avLst/>
                    </a:prstGeom>
                  </pic:spPr>
                </pic:pic>
              </a:graphicData>
            </a:graphic>
          </wp:inline>
        </w:drawing>
      </w:r>
    </w:p>
    <w:p>
      <w:pPr>
        <w:jc w:val="center"/>
        <w:rPr>
          <w:rFonts w:ascii="微软雅黑" w:hAnsi="微软雅黑" w:eastAsia="微软雅黑" w:cs="微软雅黑"/>
          <w:b/>
          <w:bCs/>
          <w:i w:val="0"/>
          <w:iCs w:val="0"/>
          <w:caps w:val="0"/>
          <w:color w:val="333333"/>
          <w:spacing w:val="0"/>
          <w:sz w:val="24"/>
          <w:szCs w:val="24"/>
          <w:shd w:val="clear" w:fill="FFFFFF"/>
        </w:rPr>
      </w:pPr>
      <w:r>
        <w:drawing>
          <wp:inline distT="0" distB="0" distL="114300" distR="114300">
            <wp:extent cx="4319905" cy="8398510"/>
            <wp:effectExtent l="0" t="0" r="8255" b="13970"/>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9"/>
                    <a:stretch>
                      <a:fillRect/>
                    </a:stretch>
                  </pic:blipFill>
                  <pic:spPr>
                    <a:xfrm>
                      <a:off x="0" y="0"/>
                      <a:ext cx="4319905" cy="8398510"/>
                    </a:xfrm>
                    <a:prstGeom prst="rect">
                      <a:avLst/>
                    </a:prstGeom>
                    <a:noFill/>
                    <a:ln>
                      <a:noFill/>
                    </a:ln>
                  </pic:spPr>
                </pic:pic>
              </a:graphicData>
            </a:graphic>
          </wp:inline>
        </w:drawing>
      </w:r>
    </w:p>
    <w:p>
      <w:pPr>
        <w:jc w:val="center"/>
        <w:rPr>
          <w:rFonts w:ascii="微软雅黑" w:hAnsi="微软雅黑" w:eastAsia="微软雅黑" w:cs="微软雅黑"/>
          <w:b/>
          <w:bCs/>
          <w:i w:val="0"/>
          <w:iCs w:val="0"/>
          <w:caps w:val="0"/>
          <w:color w:val="333333"/>
          <w:spacing w:val="0"/>
          <w:sz w:val="24"/>
          <w:szCs w:val="24"/>
          <w:shd w:val="clear" w:fill="FFFFFF"/>
        </w:rPr>
      </w:pPr>
    </w:p>
    <w:p>
      <w:pPr>
        <w:jc w:val="both"/>
        <w:rPr>
          <w:rFonts w:ascii="微软雅黑" w:hAnsi="微软雅黑" w:eastAsia="微软雅黑" w:cs="微软雅黑"/>
          <w:b/>
          <w:bCs/>
          <w:i w:val="0"/>
          <w:iCs w:val="0"/>
          <w:caps w:val="0"/>
          <w:color w:val="333333"/>
          <w:spacing w:val="0"/>
          <w:sz w:val="24"/>
          <w:szCs w:val="24"/>
          <w:shd w:val="clear" w:fill="FFFFFF"/>
        </w:rPr>
      </w:pPr>
    </w:p>
    <w:p>
      <w:pPr>
        <w:jc w:val="center"/>
        <w:rPr>
          <w:rFonts w:ascii="微软雅黑" w:hAnsi="微软雅黑" w:eastAsia="微软雅黑" w:cs="微软雅黑"/>
          <w:b/>
          <w:bCs/>
          <w:i w:val="0"/>
          <w:iCs w:val="0"/>
          <w:caps w:val="0"/>
          <w:color w:val="333333"/>
          <w:spacing w:val="0"/>
          <w:sz w:val="24"/>
          <w:szCs w:val="24"/>
          <w:shd w:val="clear" w:fill="FFFFFF"/>
        </w:rPr>
      </w:pPr>
    </w:p>
    <w:p>
      <w:pPr>
        <w:jc w:val="both"/>
        <w:rPr>
          <w:rFonts w:ascii="微软雅黑" w:hAnsi="微软雅黑" w:eastAsia="微软雅黑" w:cs="微软雅黑"/>
          <w:b/>
          <w:bCs/>
          <w:i w:val="0"/>
          <w:iCs w:val="0"/>
          <w:caps w:val="0"/>
          <w:color w:val="333333"/>
          <w:spacing w:val="0"/>
          <w:sz w:val="24"/>
          <w:szCs w:val="24"/>
          <w:shd w:val="clear" w:fill="FFFFFF"/>
        </w:rPr>
      </w:pP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hint="eastAsia" w:ascii="微软雅黑" w:hAnsi="微软雅黑" w:eastAsia="微软雅黑" w:cs="Calibri"/>
          <w:b/>
          <w:iCs/>
          <w:color w:val="1F497D"/>
          <w:sz w:val="22"/>
          <w:szCs w:val="24"/>
        </w:rPr>
        <w:t>分析师：</w:t>
      </w:r>
    </w:p>
    <w:p>
      <w:pPr>
        <w:spacing w:after="120" w:line="288" w:lineRule="auto"/>
        <w:jc w:val="left"/>
        <w:rPr>
          <w:rFonts w:ascii="微软雅黑" w:hAnsi="微软雅黑" w:eastAsia="微软雅黑" w:cs="Calibri"/>
          <w:b/>
          <w:iCs/>
          <w:color w:val="1F497D"/>
          <w:sz w:val="22"/>
          <w:szCs w:val="24"/>
        </w:rPr>
      </w:pPr>
      <w:r>
        <w:rPr>
          <w:rFonts w:hint="eastAsia" w:ascii="微软雅黑" w:hAnsi="微软雅黑" w:eastAsia="微软雅黑" w:cs="Calibri"/>
          <w:b/>
          <w:iCs/>
          <w:color w:val="1F497D"/>
          <w:sz w:val="22"/>
          <w:szCs w:val="24"/>
        </w:rPr>
        <w:t>王静，执业资格证号F0235424/Z0000771。</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r>
        <w:rPr>
          <w:rFonts w:hint="eastAsia"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5" w:type="default"/>
      <w:footerReference r:id="rId6" w:type="default"/>
      <w:pgSz w:w="11906" w:h="16838"/>
      <w:pgMar w:top="1440" w:right="1800" w:bottom="1440" w:left="1800" w:header="851" w:footer="22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4F81BD"/>
                                  </a:gs>
                                  <a:gs pos="100000">
                                    <a:srgbClr val="FFFFFF"/>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JUS963ZAAAACAEAAA8AAAAAAAAAAQAgAAAAIgAAAGRy&#10;cy9kb3ducmV2LnhtbFBLAQIUABQAAAAIAIdO4kDiichY6AIAACQHAAAOAAAAAAAAAAEAIAAAACgB&#10;AABkcnMvZTJvRG9jLnhtbFBLBQYAAAAABgAGAFkBAACCBgAAAAA=&#10;">
                    <o:lock v:ext="edit" aspectratio="f"/>
                    <v:rect id="_x0000_s1026" o:spid="_x0000_s1026" o:spt="1" style="position:absolute;left:150;top:525;height:143;width:4365;" fillcolor="#4F81BD" filled="t" stroked="f" coordsize="21600,21600" o:gfxdata="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uqmfLsAAADa&#10;AAAADwAAAAAAAAABACAAAAAiAAAAZHJzL2Rvd25yZXYueG1sUEsBAhQAFAAAAAgAh07iQDMvBZ47&#10;AAAAOQAAABAAAAAAAAAAAQAgAAAACgEAAGRycy9zaGFwZXhtbC54bWxQSwUGAAAAAAYABgBbAQAA&#10;tAMAAAAA&#10;">
                      <v:fill type="gradient" on="t" color2="#FFFFFF" angle="90" focus="100%" focussize="0,0"/>
                      <v:stroke on="f"/>
                      <v:imagedata o:title=""/>
                      <o:lock v:ext="edit" aspectratio="f"/>
                    </v:rect>
                    <v:rect id="_x0000_s1026" o:spid="_x0000_s1026" o:spt="1" style="position:absolute;left:0;top:0;height:623;width:4290;" fillcolor="#FFFFFF" filled="t" stroked="f" coordsize="21600,21600" o:gfxdata="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B+V7sAAADa&#10;AAAADwAAAAAAAAABACAAAAAiAAAAZHJzL2Rvd25yZXYueG1sUEsBAhQAFAAAAAgAh07iQDMvBZ47&#10;AAAAOQAAABAAAAAAAAAAAQAgAAAACgEAAGRycy9zaGFwZXhtbC54bWxQSwUGAAAAAAYABgBbAQAA&#10;tAM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21228"/>
    <w:multiLevelType w:val="singleLevel"/>
    <w:tmpl w:val="A0A21228"/>
    <w:lvl w:ilvl="0" w:tentative="0">
      <w:start w:val="1"/>
      <w:numFmt w:val="bullet"/>
      <w:lvlText w:val=""/>
      <w:lvlJc w:val="left"/>
      <w:pPr>
        <w:ind w:left="420" w:hanging="420"/>
      </w:pPr>
      <w:rPr>
        <w:rFonts w:hint="default" w:ascii="Wingdings" w:hAnsi="Wingdings"/>
      </w:rPr>
    </w:lvl>
  </w:abstractNum>
  <w:abstractNum w:abstractNumId="1">
    <w:nsid w:val="01FC3DDC"/>
    <w:multiLevelType w:val="multilevel"/>
    <w:tmpl w:val="01FC3D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962344"/>
    <w:multiLevelType w:val="multilevel"/>
    <w:tmpl w:val="219623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MDM3OTBmNWUwYzM4NzgzNDQ3NjE4NTkwMDYxODIifQ=="/>
  </w:docVars>
  <w:rsids>
    <w:rsidRoot w:val="000C7141"/>
    <w:rsid w:val="00000DDF"/>
    <w:rsid w:val="00006E67"/>
    <w:rsid w:val="00013806"/>
    <w:rsid w:val="00014696"/>
    <w:rsid w:val="00017847"/>
    <w:rsid w:val="0002244E"/>
    <w:rsid w:val="00034E03"/>
    <w:rsid w:val="00042117"/>
    <w:rsid w:val="00051013"/>
    <w:rsid w:val="00052E0A"/>
    <w:rsid w:val="00055EF0"/>
    <w:rsid w:val="000567E7"/>
    <w:rsid w:val="00057B53"/>
    <w:rsid w:val="00063698"/>
    <w:rsid w:val="0006595F"/>
    <w:rsid w:val="000703EE"/>
    <w:rsid w:val="00070FCB"/>
    <w:rsid w:val="000848AF"/>
    <w:rsid w:val="00092278"/>
    <w:rsid w:val="0009717F"/>
    <w:rsid w:val="000A0217"/>
    <w:rsid w:val="000A0875"/>
    <w:rsid w:val="000A4FFC"/>
    <w:rsid w:val="000A6113"/>
    <w:rsid w:val="000B541C"/>
    <w:rsid w:val="000B6043"/>
    <w:rsid w:val="000C7141"/>
    <w:rsid w:val="000D058D"/>
    <w:rsid w:val="000E05BB"/>
    <w:rsid w:val="000E23AD"/>
    <w:rsid w:val="000F0446"/>
    <w:rsid w:val="000F0E26"/>
    <w:rsid w:val="000F4758"/>
    <w:rsid w:val="000F76E5"/>
    <w:rsid w:val="001013A1"/>
    <w:rsid w:val="001032F5"/>
    <w:rsid w:val="00104731"/>
    <w:rsid w:val="00112307"/>
    <w:rsid w:val="00114101"/>
    <w:rsid w:val="00114990"/>
    <w:rsid w:val="001158E5"/>
    <w:rsid w:val="0012027E"/>
    <w:rsid w:val="00123054"/>
    <w:rsid w:val="00130EE4"/>
    <w:rsid w:val="0013565B"/>
    <w:rsid w:val="00141680"/>
    <w:rsid w:val="00142D14"/>
    <w:rsid w:val="00145AF4"/>
    <w:rsid w:val="00147412"/>
    <w:rsid w:val="00151EDD"/>
    <w:rsid w:val="0015212E"/>
    <w:rsid w:val="00153A09"/>
    <w:rsid w:val="00163C55"/>
    <w:rsid w:val="00167020"/>
    <w:rsid w:val="00167698"/>
    <w:rsid w:val="00171713"/>
    <w:rsid w:val="00172B87"/>
    <w:rsid w:val="0017418E"/>
    <w:rsid w:val="0018082E"/>
    <w:rsid w:val="001811AE"/>
    <w:rsid w:val="001A3E59"/>
    <w:rsid w:val="001A5BE8"/>
    <w:rsid w:val="001B5B5C"/>
    <w:rsid w:val="001C1DBB"/>
    <w:rsid w:val="001C4201"/>
    <w:rsid w:val="001D095D"/>
    <w:rsid w:val="001D49EF"/>
    <w:rsid w:val="001D4A06"/>
    <w:rsid w:val="001E3D55"/>
    <w:rsid w:val="001E593A"/>
    <w:rsid w:val="001E6944"/>
    <w:rsid w:val="001F3A5E"/>
    <w:rsid w:val="001F3BBD"/>
    <w:rsid w:val="001F590A"/>
    <w:rsid w:val="001F5AFE"/>
    <w:rsid w:val="001F620F"/>
    <w:rsid w:val="00200A79"/>
    <w:rsid w:val="00201975"/>
    <w:rsid w:val="00207407"/>
    <w:rsid w:val="002154B8"/>
    <w:rsid w:val="002160C8"/>
    <w:rsid w:val="0022644D"/>
    <w:rsid w:val="002317DC"/>
    <w:rsid w:val="0023373A"/>
    <w:rsid w:val="00241E08"/>
    <w:rsid w:val="00245F97"/>
    <w:rsid w:val="002467AA"/>
    <w:rsid w:val="002511CD"/>
    <w:rsid w:val="00253243"/>
    <w:rsid w:val="00260FB4"/>
    <w:rsid w:val="00262D13"/>
    <w:rsid w:val="00263088"/>
    <w:rsid w:val="00263AC8"/>
    <w:rsid w:val="002659E4"/>
    <w:rsid w:val="0027188E"/>
    <w:rsid w:val="00281168"/>
    <w:rsid w:val="00283505"/>
    <w:rsid w:val="00294E79"/>
    <w:rsid w:val="002956BA"/>
    <w:rsid w:val="0029649A"/>
    <w:rsid w:val="002973B6"/>
    <w:rsid w:val="00297562"/>
    <w:rsid w:val="00297D26"/>
    <w:rsid w:val="002A06E0"/>
    <w:rsid w:val="002A1D69"/>
    <w:rsid w:val="002A1EEA"/>
    <w:rsid w:val="002B027F"/>
    <w:rsid w:val="002B283A"/>
    <w:rsid w:val="002B5A61"/>
    <w:rsid w:val="002C7491"/>
    <w:rsid w:val="002C7B52"/>
    <w:rsid w:val="002D22BB"/>
    <w:rsid w:val="002D74C0"/>
    <w:rsid w:val="002E1B79"/>
    <w:rsid w:val="002E4996"/>
    <w:rsid w:val="002E7104"/>
    <w:rsid w:val="002F06B8"/>
    <w:rsid w:val="002F0783"/>
    <w:rsid w:val="002F26E4"/>
    <w:rsid w:val="002F2BE4"/>
    <w:rsid w:val="002F31AF"/>
    <w:rsid w:val="002F3FE5"/>
    <w:rsid w:val="002F4297"/>
    <w:rsid w:val="00300E7C"/>
    <w:rsid w:val="00305368"/>
    <w:rsid w:val="003113DE"/>
    <w:rsid w:val="00312FFF"/>
    <w:rsid w:val="0031351F"/>
    <w:rsid w:val="00313679"/>
    <w:rsid w:val="0031453F"/>
    <w:rsid w:val="003170A3"/>
    <w:rsid w:val="003172CE"/>
    <w:rsid w:val="00321FAA"/>
    <w:rsid w:val="00330567"/>
    <w:rsid w:val="003319E3"/>
    <w:rsid w:val="00335306"/>
    <w:rsid w:val="00342C54"/>
    <w:rsid w:val="00345932"/>
    <w:rsid w:val="0034695F"/>
    <w:rsid w:val="00351347"/>
    <w:rsid w:val="00351EEB"/>
    <w:rsid w:val="0035361F"/>
    <w:rsid w:val="00355DD3"/>
    <w:rsid w:val="00365D33"/>
    <w:rsid w:val="00366F3D"/>
    <w:rsid w:val="00370B14"/>
    <w:rsid w:val="003761A6"/>
    <w:rsid w:val="00390207"/>
    <w:rsid w:val="003A45DE"/>
    <w:rsid w:val="003A50FC"/>
    <w:rsid w:val="003A7A78"/>
    <w:rsid w:val="003B0A43"/>
    <w:rsid w:val="003C4750"/>
    <w:rsid w:val="003C636B"/>
    <w:rsid w:val="003D209E"/>
    <w:rsid w:val="003D444C"/>
    <w:rsid w:val="003D51AA"/>
    <w:rsid w:val="003F3DF8"/>
    <w:rsid w:val="003F4407"/>
    <w:rsid w:val="003F4656"/>
    <w:rsid w:val="003F679C"/>
    <w:rsid w:val="003F7882"/>
    <w:rsid w:val="0040249A"/>
    <w:rsid w:val="00402578"/>
    <w:rsid w:val="00406D00"/>
    <w:rsid w:val="00416A00"/>
    <w:rsid w:val="00416C43"/>
    <w:rsid w:val="00431303"/>
    <w:rsid w:val="004401FC"/>
    <w:rsid w:val="00441DB9"/>
    <w:rsid w:val="00443B41"/>
    <w:rsid w:val="00455AED"/>
    <w:rsid w:val="00462957"/>
    <w:rsid w:val="00463802"/>
    <w:rsid w:val="00467425"/>
    <w:rsid w:val="004709E9"/>
    <w:rsid w:val="0047183D"/>
    <w:rsid w:val="004773BA"/>
    <w:rsid w:val="0048045B"/>
    <w:rsid w:val="004818C4"/>
    <w:rsid w:val="00490F75"/>
    <w:rsid w:val="00491EEF"/>
    <w:rsid w:val="004941A3"/>
    <w:rsid w:val="0049595B"/>
    <w:rsid w:val="00496EFC"/>
    <w:rsid w:val="004A115E"/>
    <w:rsid w:val="004B27C9"/>
    <w:rsid w:val="004B49CA"/>
    <w:rsid w:val="004C0BED"/>
    <w:rsid w:val="004C0CCF"/>
    <w:rsid w:val="004C36D1"/>
    <w:rsid w:val="004C53F3"/>
    <w:rsid w:val="004D5B44"/>
    <w:rsid w:val="004E675A"/>
    <w:rsid w:val="004F372B"/>
    <w:rsid w:val="004F5691"/>
    <w:rsid w:val="004F669D"/>
    <w:rsid w:val="004F67FE"/>
    <w:rsid w:val="005045E7"/>
    <w:rsid w:val="005165A5"/>
    <w:rsid w:val="00517664"/>
    <w:rsid w:val="00522EB9"/>
    <w:rsid w:val="00524F15"/>
    <w:rsid w:val="00525BEA"/>
    <w:rsid w:val="00533639"/>
    <w:rsid w:val="0053388F"/>
    <w:rsid w:val="0054060A"/>
    <w:rsid w:val="00542E89"/>
    <w:rsid w:val="00547E85"/>
    <w:rsid w:val="00552936"/>
    <w:rsid w:val="00556046"/>
    <w:rsid w:val="005666C6"/>
    <w:rsid w:val="005666FD"/>
    <w:rsid w:val="00567C12"/>
    <w:rsid w:val="0057317E"/>
    <w:rsid w:val="005807AD"/>
    <w:rsid w:val="005816A4"/>
    <w:rsid w:val="005836BF"/>
    <w:rsid w:val="0058484F"/>
    <w:rsid w:val="00585CAC"/>
    <w:rsid w:val="00586515"/>
    <w:rsid w:val="00590492"/>
    <w:rsid w:val="0059235C"/>
    <w:rsid w:val="00594351"/>
    <w:rsid w:val="005A1B7D"/>
    <w:rsid w:val="005A2257"/>
    <w:rsid w:val="005A2D76"/>
    <w:rsid w:val="005B20AA"/>
    <w:rsid w:val="005B2E11"/>
    <w:rsid w:val="005C3443"/>
    <w:rsid w:val="005C4CBF"/>
    <w:rsid w:val="005C7B8B"/>
    <w:rsid w:val="005D1D39"/>
    <w:rsid w:val="005D55F3"/>
    <w:rsid w:val="005D568D"/>
    <w:rsid w:val="005D78DF"/>
    <w:rsid w:val="005E01CD"/>
    <w:rsid w:val="005E2316"/>
    <w:rsid w:val="005F04CF"/>
    <w:rsid w:val="005F096A"/>
    <w:rsid w:val="0060621A"/>
    <w:rsid w:val="0061677F"/>
    <w:rsid w:val="00622983"/>
    <w:rsid w:val="006250FF"/>
    <w:rsid w:val="00626A39"/>
    <w:rsid w:val="0063015A"/>
    <w:rsid w:val="006333D7"/>
    <w:rsid w:val="0063372F"/>
    <w:rsid w:val="00633C0D"/>
    <w:rsid w:val="00642D4B"/>
    <w:rsid w:val="0064324E"/>
    <w:rsid w:val="00643655"/>
    <w:rsid w:val="006510F7"/>
    <w:rsid w:val="00652551"/>
    <w:rsid w:val="0065330E"/>
    <w:rsid w:val="00661214"/>
    <w:rsid w:val="006632AD"/>
    <w:rsid w:val="006651AA"/>
    <w:rsid w:val="00666B46"/>
    <w:rsid w:val="00672708"/>
    <w:rsid w:val="006733E0"/>
    <w:rsid w:val="00676BC1"/>
    <w:rsid w:val="00681382"/>
    <w:rsid w:val="006847E9"/>
    <w:rsid w:val="0069347A"/>
    <w:rsid w:val="00696516"/>
    <w:rsid w:val="00697C7A"/>
    <w:rsid w:val="006A1237"/>
    <w:rsid w:val="006A3876"/>
    <w:rsid w:val="006B0ABE"/>
    <w:rsid w:val="006B126F"/>
    <w:rsid w:val="006B3B2A"/>
    <w:rsid w:val="006B4900"/>
    <w:rsid w:val="006B643E"/>
    <w:rsid w:val="006B6521"/>
    <w:rsid w:val="006B6DC6"/>
    <w:rsid w:val="006C01DA"/>
    <w:rsid w:val="006C4BB3"/>
    <w:rsid w:val="006C4FD4"/>
    <w:rsid w:val="006C5E0C"/>
    <w:rsid w:val="006C6BA1"/>
    <w:rsid w:val="006C7831"/>
    <w:rsid w:val="006D0243"/>
    <w:rsid w:val="006D56D5"/>
    <w:rsid w:val="006D6092"/>
    <w:rsid w:val="006D7ACE"/>
    <w:rsid w:val="006E0C32"/>
    <w:rsid w:val="006E3949"/>
    <w:rsid w:val="006F01BA"/>
    <w:rsid w:val="006F2B61"/>
    <w:rsid w:val="006F64CA"/>
    <w:rsid w:val="007029F6"/>
    <w:rsid w:val="00703FF8"/>
    <w:rsid w:val="00704B4D"/>
    <w:rsid w:val="00705D1F"/>
    <w:rsid w:val="00710278"/>
    <w:rsid w:val="00710EA1"/>
    <w:rsid w:val="00712BF9"/>
    <w:rsid w:val="0071414D"/>
    <w:rsid w:val="007340DC"/>
    <w:rsid w:val="00735A17"/>
    <w:rsid w:val="007373EE"/>
    <w:rsid w:val="00741B5C"/>
    <w:rsid w:val="007514CA"/>
    <w:rsid w:val="0075189B"/>
    <w:rsid w:val="00760B8E"/>
    <w:rsid w:val="00766F88"/>
    <w:rsid w:val="00776967"/>
    <w:rsid w:val="0078584B"/>
    <w:rsid w:val="007876FA"/>
    <w:rsid w:val="00796B86"/>
    <w:rsid w:val="007B66E7"/>
    <w:rsid w:val="007D2CB5"/>
    <w:rsid w:val="007D6C46"/>
    <w:rsid w:val="007E067C"/>
    <w:rsid w:val="007E4180"/>
    <w:rsid w:val="007E424E"/>
    <w:rsid w:val="007F13E9"/>
    <w:rsid w:val="007F21C2"/>
    <w:rsid w:val="007F4D36"/>
    <w:rsid w:val="007F7D1A"/>
    <w:rsid w:val="008008B9"/>
    <w:rsid w:val="00802DB2"/>
    <w:rsid w:val="00803413"/>
    <w:rsid w:val="00810DA6"/>
    <w:rsid w:val="008127B2"/>
    <w:rsid w:val="00813E56"/>
    <w:rsid w:val="0082485B"/>
    <w:rsid w:val="00825058"/>
    <w:rsid w:val="008262BD"/>
    <w:rsid w:val="00835F38"/>
    <w:rsid w:val="00837B0B"/>
    <w:rsid w:val="00837C0E"/>
    <w:rsid w:val="00841465"/>
    <w:rsid w:val="008446C0"/>
    <w:rsid w:val="00845FC6"/>
    <w:rsid w:val="00850ACA"/>
    <w:rsid w:val="008565D2"/>
    <w:rsid w:val="00864079"/>
    <w:rsid w:val="00866A15"/>
    <w:rsid w:val="008737EC"/>
    <w:rsid w:val="0088182F"/>
    <w:rsid w:val="00882ACF"/>
    <w:rsid w:val="00887EC2"/>
    <w:rsid w:val="0089089E"/>
    <w:rsid w:val="008944C3"/>
    <w:rsid w:val="008967F3"/>
    <w:rsid w:val="008A231D"/>
    <w:rsid w:val="008A3D25"/>
    <w:rsid w:val="008C0A3D"/>
    <w:rsid w:val="008C2B73"/>
    <w:rsid w:val="008C59FB"/>
    <w:rsid w:val="008C5B4F"/>
    <w:rsid w:val="008C6C86"/>
    <w:rsid w:val="008C7732"/>
    <w:rsid w:val="008D02C9"/>
    <w:rsid w:val="008D546F"/>
    <w:rsid w:val="008D5BCF"/>
    <w:rsid w:val="008E0DA8"/>
    <w:rsid w:val="008E35D1"/>
    <w:rsid w:val="008F5564"/>
    <w:rsid w:val="00901893"/>
    <w:rsid w:val="00904A9B"/>
    <w:rsid w:val="00906CD4"/>
    <w:rsid w:val="00913135"/>
    <w:rsid w:val="009136CA"/>
    <w:rsid w:val="00915A5D"/>
    <w:rsid w:val="00915AE0"/>
    <w:rsid w:val="00923CE4"/>
    <w:rsid w:val="009242C3"/>
    <w:rsid w:val="00926EEB"/>
    <w:rsid w:val="00935A79"/>
    <w:rsid w:val="00941493"/>
    <w:rsid w:val="00941F80"/>
    <w:rsid w:val="00952808"/>
    <w:rsid w:val="00953CDF"/>
    <w:rsid w:val="00956E92"/>
    <w:rsid w:val="00966742"/>
    <w:rsid w:val="00975438"/>
    <w:rsid w:val="00977616"/>
    <w:rsid w:val="00977ED7"/>
    <w:rsid w:val="009815FA"/>
    <w:rsid w:val="00983E19"/>
    <w:rsid w:val="00986AE7"/>
    <w:rsid w:val="00990849"/>
    <w:rsid w:val="00990998"/>
    <w:rsid w:val="00996E54"/>
    <w:rsid w:val="009970BA"/>
    <w:rsid w:val="009A58DB"/>
    <w:rsid w:val="009A61D2"/>
    <w:rsid w:val="009B72B1"/>
    <w:rsid w:val="009C03EC"/>
    <w:rsid w:val="009C10F0"/>
    <w:rsid w:val="009D1693"/>
    <w:rsid w:val="009F2D70"/>
    <w:rsid w:val="009F335C"/>
    <w:rsid w:val="009F51FC"/>
    <w:rsid w:val="009F7825"/>
    <w:rsid w:val="00A05CD6"/>
    <w:rsid w:val="00A07026"/>
    <w:rsid w:val="00A13988"/>
    <w:rsid w:val="00A27A58"/>
    <w:rsid w:val="00A33BA1"/>
    <w:rsid w:val="00A37056"/>
    <w:rsid w:val="00A4260E"/>
    <w:rsid w:val="00A43836"/>
    <w:rsid w:val="00A54B69"/>
    <w:rsid w:val="00A55C95"/>
    <w:rsid w:val="00A6273A"/>
    <w:rsid w:val="00A65769"/>
    <w:rsid w:val="00A7140F"/>
    <w:rsid w:val="00A738E1"/>
    <w:rsid w:val="00A754D0"/>
    <w:rsid w:val="00A75D77"/>
    <w:rsid w:val="00A763FB"/>
    <w:rsid w:val="00A83331"/>
    <w:rsid w:val="00A8742B"/>
    <w:rsid w:val="00A92AC8"/>
    <w:rsid w:val="00A96240"/>
    <w:rsid w:val="00AA3962"/>
    <w:rsid w:val="00AB4D43"/>
    <w:rsid w:val="00AB782C"/>
    <w:rsid w:val="00AC0590"/>
    <w:rsid w:val="00AC2178"/>
    <w:rsid w:val="00AC6A64"/>
    <w:rsid w:val="00AC74A7"/>
    <w:rsid w:val="00AD13CB"/>
    <w:rsid w:val="00AD3EB3"/>
    <w:rsid w:val="00AE0254"/>
    <w:rsid w:val="00AE17AE"/>
    <w:rsid w:val="00AE2078"/>
    <w:rsid w:val="00AE473F"/>
    <w:rsid w:val="00AE52FF"/>
    <w:rsid w:val="00AF1206"/>
    <w:rsid w:val="00B073BE"/>
    <w:rsid w:val="00B10A87"/>
    <w:rsid w:val="00B12C04"/>
    <w:rsid w:val="00B139D0"/>
    <w:rsid w:val="00B17E7B"/>
    <w:rsid w:val="00B2368A"/>
    <w:rsid w:val="00B34BB2"/>
    <w:rsid w:val="00B3605C"/>
    <w:rsid w:val="00B4432C"/>
    <w:rsid w:val="00B444EF"/>
    <w:rsid w:val="00B44A87"/>
    <w:rsid w:val="00B46CCC"/>
    <w:rsid w:val="00B545D0"/>
    <w:rsid w:val="00B60C4A"/>
    <w:rsid w:val="00B6400B"/>
    <w:rsid w:val="00B67A50"/>
    <w:rsid w:val="00B758FA"/>
    <w:rsid w:val="00B76979"/>
    <w:rsid w:val="00B81C13"/>
    <w:rsid w:val="00B90DFF"/>
    <w:rsid w:val="00B934FA"/>
    <w:rsid w:val="00B966F7"/>
    <w:rsid w:val="00BA4C13"/>
    <w:rsid w:val="00BA538B"/>
    <w:rsid w:val="00BA642B"/>
    <w:rsid w:val="00BA7004"/>
    <w:rsid w:val="00BB00D8"/>
    <w:rsid w:val="00BB2D9F"/>
    <w:rsid w:val="00BB530E"/>
    <w:rsid w:val="00BB56AD"/>
    <w:rsid w:val="00BC17C1"/>
    <w:rsid w:val="00BC5EDA"/>
    <w:rsid w:val="00BD5FBA"/>
    <w:rsid w:val="00BE5DCE"/>
    <w:rsid w:val="00BE706C"/>
    <w:rsid w:val="00C10F72"/>
    <w:rsid w:val="00C1660C"/>
    <w:rsid w:val="00C20DAA"/>
    <w:rsid w:val="00C2706E"/>
    <w:rsid w:val="00C2768A"/>
    <w:rsid w:val="00C40555"/>
    <w:rsid w:val="00C41457"/>
    <w:rsid w:val="00C42E70"/>
    <w:rsid w:val="00C43713"/>
    <w:rsid w:val="00C47366"/>
    <w:rsid w:val="00C47DE9"/>
    <w:rsid w:val="00C50C47"/>
    <w:rsid w:val="00C525D5"/>
    <w:rsid w:val="00C57016"/>
    <w:rsid w:val="00C63358"/>
    <w:rsid w:val="00C76B61"/>
    <w:rsid w:val="00C770F7"/>
    <w:rsid w:val="00C82E16"/>
    <w:rsid w:val="00C92AA6"/>
    <w:rsid w:val="00CA2450"/>
    <w:rsid w:val="00CA3758"/>
    <w:rsid w:val="00CB2002"/>
    <w:rsid w:val="00CB4E4C"/>
    <w:rsid w:val="00CB58B7"/>
    <w:rsid w:val="00CC3AF3"/>
    <w:rsid w:val="00CC59B6"/>
    <w:rsid w:val="00CC6ECC"/>
    <w:rsid w:val="00CD1A6B"/>
    <w:rsid w:val="00CD25DF"/>
    <w:rsid w:val="00CD3414"/>
    <w:rsid w:val="00CE29AE"/>
    <w:rsid w:val="00CE29EE"/>
    <w:rsid w:val="00CE59AD"/>
    <w:rsid w:val="00CF270D"/>
    <w:rsid w:val="00CF52CA"/>
    <w:rsid w:val="00CF572D"/>
    <w:rsid w:val="00CF6F7B"/>
    <w:rsid w:val="00D04570"/>
    <w:rsid w:val="00D10CF3"/>
    <w:rsid w:val="00D11C45"/>
    <w:rsid w:val="00D12904"/>
    <w:rsid w:val="00D1539E"/>
    <w:rsid w:val="00D21B92"/>
    <w:rsid w:val="00D22CB9"/>
    <w:rsid w:val="00D26094"/>
    <w:rsid w:val="00D32BFB"/>
    <w:rsid w:val="00D32E2D"/>
    <w:rsid w:val="00D429BE"/>
    <w:rsid w:val="00D43D13"/>
    <w:rsid w:val="00D55288"/>
    <w:rsid w:val="00D56417"/>
    <w:rsid w:val="00D57870"/>
    <w:rsid w:val="00D65F7A"/>
    <w:rsid w:val="00D6657C"/>
    <w:rsid w:val="00D7183E"/>
    <w:rsid w:val="00D84424"/>
    <w:rsid w:val="00D8482F"/>
    <w:rsid w:val="00D93CC8"/>
    <w:rsid w:val="00DA00D1"/>
    <w:rsid w:val="00DB1685"/>
    <w:rsid w:val="00DB35C7"/>
    <w:rsid w:val="00DB56FA"/>
    <w:rsid w:val="00DB7C27"/>
    <w:rsid w:val="00DC18D2"/>
    <w:rsid w:val="00DC4AD3"/>
    <w:rsid w:val="00DD2CFF"/>
    <w:rsid w:val="00DE1532"/>
    <w:rsid w:val="00DE61C8"/>
    <w:rsid w:val="00DE72DD"/>
    <w:rsid w:val="00DF5812"/>
    <w:rsid w:val="00E01368"/>
    <w:rsid w:val="00E01671"/>
    <w:rsid w:val="00E05801"/>
    <w:rsid w:val="00E07C1D"/>
    <w:rsid w:val="00E13B21"/>
    <w:rsid w:val="00E278AA"/>
    <w:rsid w:val="00E3020F"/>
    <w:rsid w:val="00E307DA"/>
    <w:rsid w:val="00E4638A"/>
    <w:rsid w:val="00E50697"/>
    <w:rsid w:val="00E6184E"/>
    <w:rsid w:val="00E6264C"/>
    <w:rsid w:val="00E6268B"/>
    <w:rsid w:val="00E66A31"/>
    <w:rsid w:val="00E67B75"/>
    <w:rsid w:val="00E67E30"/>
    <w:rsid w:val="00E73282"/>
    <w:rsid w:val="00E7357B"/>
    <w:rsid w:val="00E74AED"/>
    <w:rsid w:val="00E77ED5"/>
    <w:rsid w:val="00E80222"/>
    <w:rsid w:val="00E81D16"/>
    <w:rsid w:val="00E83AE7"/>
    <w:rsid w:val="00E8588C"/>
    <w:rsid w:val="00E931ED"/>
    <w:rsid w:val="00E94100"/>
    <w:rsid w:val="00EA3610"/>
    <w:rsid w:val="00EA4EB2"/>
    <w:rsid w:val="00EB1C8B"/>
    <w:rsid w:val="00EC55A4"/>
    <w:rsid w:val="00EC786A"/>
    <w:rsid w:val="00ED1276"/>
    <w:rsid w:val="00ED2595"/>
    <w:rsid w:val="00ED427C"/>
    <w:rsid w:val="00EF4D2D"/>
    <w:rsid w:val="00EF673E"/>
    <w:rsid w:val="00F05221"/>
    <w:rsid w:val="00F07367"/>
    <w:rsid w:val="00F0744E"/>
    <w:rsid w:val="00F14E85"/>
    <w:rsid w:val="00F20738"/>
    <w:rsid w:val="00F24F91"/>
    <w:rsid w:val="00F32352"/>
    <w:rsid w:val="00F37F54"/>
    <w:rsid w:val="00F409A9"/>
    <w:rsid w:val="00F41B86"/>
    <w:rsid w:val="00F423C0"/>
    <w:rsid w:val="00F47E07"/>
    <w:rsid w:val="00F50629"/>
    <w:rsid w:val="00F55807"/>
    <w:rsid w:val="00F558C4"/>
    <w:rsid w:val="00F67F58"/>
    <w:rsid w:val="00F72E8E"/>
    <w:rsid w:val="00F8354C"/>
    <w:rsid w:val="00F85659"/>
    <w:rsid w:val="00F86897"/>
    <w:rsid w:val="00F875B5"/>
    <w:rsid w:val="00F913CC"/>
    <w:rsid w:val="00F922DC"/>
    <w:rsid w:val="00F92AFB"/>
    <w:rsid w:val="00F942B8"/>
    <w:rsid w:val="00F948F9"/>
    <w:rsid w:val="00FA1A37"/>
    <w:rsid w:val="00FA73FA"/>
    <w:rsid w:val="00FB07A7"/>
    <w:rsid w:val="00FB40FA"/>
    <w:rsid w:val="00FB5C04"/>
    <w:rsid w:val="00FB7F3D"/>
    <w:rsid w:val="00FC2CE4"/>
    <w:rsid w:val="00FC6581"/>
    <w:rsid w:val="00FD0C55"/>
    <w:rsid w:val="00FD4A9C"/>
    <w:rsid w:val="00FD7397"/>
    <w:rsid w:val="00FE056F"/>
    <w:rsid w:val="00FE0AD7"/>
    <w:rsid w:val="00FE1225"/>
    <w:rsid w:val="00FE7D7E"/>
    <w:rsid w:val="00FF6E27"/>
    <w:rsid w:val="03F80540"/>
    <w:rsid w:val="043041A5"/>
    <w:rsid w:val="0B3F74C5"/>
    <w:rsid w:val="0C387C5D"/>
    <w:rsid w:val="0E7B4B34"/>
    <w:rsid w:val="19BC001A"/>
    <w:rsid w:val="1B373F76"/>
    <w:rsid w:val="1D235D4F"/>
    <w:rsid w:val="208B1A1B"/>
    <w:rsid w:val="23912A51"/>
    <w:rsid w:val="27653A3B"/>
    <w:rsid w:val="293974D2"/>
    <w:rsid w:val="2FFB4271"/>
    <w:rsid w:val="322770F2"/>
    <w:rsid w:val="33270FB7"/>
    <w:rsid w:val="33A50AEA"/>
    <w:rsid w:val="36FE43D6"/>
    <w:rsid w:val="376821FD"/>
    <w:rsid w:val="37D274A5"/>
    <w:rsid w:val="390D46A2"/>
    <w:rsid w:val="39375B6E"/>
    <w:rsid w:val="3A4B048D"/>
    <w:rsid w:val="3A8F2271"/>
    <w:rsid w:val="3CA135FC"/>
    <w:rsid w:val="40E20128"/>
    <w:rsid w:val="411C6D61"/>
    <w:rsid w:val="43905842"/>
    <w:rsid w:val="44453DDE"/>
    <w:rsid w:val="45C442CF"/>
    <w:rsid w:val="45CD4445"/>
    <w:rsid w:val="48F819D7"/>
    <w:rsid w:val="4BBA0ADF"/>
    <w:rsid w:val="50BD1399"/>
    <w:rsid w:val="547A11B4"/>
    <w:rsid w:val="56E43BC7"/>
    <w:rsid w:val="596B4829"/>
    <w:rsid w:val="5BA73126"/>
    <w:rsid w:val="5BF30290"/>
    <w:rsid w:val="60B73D39"/>
    <w:rsid w:val="643C3657"/>
    <w:rsid w:val="64BC6DCC"/>
    <w:rsid w:val="651702F9"/>
    <w:rsid w:val="662B301D"/>
    <w:rsid w:val="67B25B07"/>
    <w:rsid w:val="6A864E07"/>
    <w:rsid w:val="6B0D55F4"/>
    <w:rsid w:val="6EF42AB9"/>
    <w:rsid w:val="72522E7D"/>
    <w:rsid w:val="745F7AD1"/>
    <w:rsid w:val="749B0989"/>
    <w:rsid w:val="76E96201"/>
    <w:rsid w:val="770477A1"/>
    <w:rsid w:val="77825766"/>
    <w:rsid w:val="78060FF0"/>
    <w:rsid w:val="7B0E01BA"/>
    <w:rsid w:val="7B906B12"/>
    <w:rsid w:val="7BEB5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30"/>
    <w:qFormat/>
    <w:uiPriority w:val="9"/>
    <w:pPr>
      <w:spacing w:before="300" w:after="40"/>
      <w:jc w:val="left"/>
      <w:outlineLvl w:val="0"/>
    </w:pPr>
    <w:rPr>
      <w:smallCaps/>
      <w:spacing w:val="5"/>
      <w:sz w:val="32"/>
      <w:szCs w:val="32"/>
    </w:rPr>
  </w:style>
  <w:style w:type="paragraph" w:styleId="3">
    <w:name w:val="heading 2"/>
    <w:basedOn w:val="1"/>
    <w:next w:val="1"/>
    <w:link w:val="31"/>
    <w:qFormat/>
    <w:uiPriority w:val="9"/>
    <w:pPr>
      <w:spacing w:before="240" w:after="80"/>
      <w:jc w:val="left"/>
      <w:outlineLvl w:val="1"/>
    </w:pPr>
    <w:rPr>
      <w:smallCaps/>
      <w:spacing w:val="5"/>
      <w:sz w:val="28"/>
      <w:szCs w:val="28"/>
    </w:rPr>
  </w:style>
  <w:style w:type="paragraph" w:styleId="4">
    <w:name w:val="heading 3"/>
    <w:basedOn w:val="1"/>
    <w:next w:val="1"/>
    <w:link w:val="32"/>
    <w:qFormat/>
    <w:uiPriority w:val="9"/>
    <w:pPr>
      <w:spacing w:after="0"/>
      <w:jc w:val="left"/>
      <w:outlineLvl w:val="2"/>
    </w:pPr>
    <w:rPr>
      <w:smallCaps/>
      <w:spacing w:val="5"/>
      <w:sz w:val="24"/>
      <w:szCs w:val="24"/>
    </w:rPr>
  </w:style>
  <w:style w:type="paragraph" w:styleId="5">
    <w:name w:val="heading 4"/>
    <w:basedOn w:val="1"/>
    <w:next w:val="1"/>
    <w:link w:val="33"/>
    <w:qFormat/>
    <w:uiPriority w:val="9"/>
    <w:pPr>
      <w:spacing w:before="240" w:after="0"/>
      <w:jc w:val="left"/>
      <w:outlineLvl w:val="3"/>
    </w:pPr>
    <w:rPr>
      <w:smallCaps/>
      <w:spacing w:val="10"/>
      <w:sz w:val="22"/>
      <w:szCs w:val="22"/>
    </w:rPr>
  </w:style>
  <w:style w:type="paragraph" w:styleId="6">
    <w:name w:val="heading 5"/>
    <w:basedOn w:val="1"/>
    <w:next w:val="1"/>
    <w:link w:val="34"/>
    <w:qFormat/>
    <w:uiPriority w:val="9"/>
    <w:pPr>
      <w:spacing w:before="200" w:after="0"/>
      <w:jc w:val="left"/>
      <w:outlineLvl w:val="4"/>
    </w:pPr>
    <w:rPr>
      <w:smallCaps/>
      <w:color w:val="4381CF"/>
      <w:spacing w:val="10"/>
      <w:sz w:val="22"/>
      <w:szCs w:val="26"/>
    </w:rPr>
  </w:style>
  <w:style w:type="paragraph" w:styleId="7">
    <w:name w:val="heading 6"/>
    <w:basedOn w:val="1"/>
    <w:next w:val="1"/>
    <w:link w:val="35"/>
    <w:qFormat/>
    <w:uiPriority w:val="9"/>
    <w:pPr>
      <w:spacing w:after="0"/>
      <w:jc w:val="left"/>
      <w:outlineLvl w:val="5"/>
    </w:pPr>
    <w:rPr>
      <w:smallCaps/>
      <w:color w:val="8DB3E2"/>
      <w:spacing w:val="5"/>
      <w:sz w:val="22"/>
    </w:rPr>
  </w:style>
  <w:style w:type="paragraph" w:styleId="8">
    <w:name w:val="heading 7"/>
    <w:basedOn w:val="1"/>
    <w:next w:val="1"/>
    <w:link w:val="36"/>
    <w:qFormat/>
    <w:uiPriority w:val="9"/>
    <w:pPr>
      <w:spacing w:after="0"/>
      <w:jc w:val="left"/>
      <w:outlineLvl w:val="6"/>
    </w:pPr>
    <w:rPr>
      <w:b/>
      <w:smallCaps/>
      <w:color w:val="8DB3E2"/>
      <w:spacing w:val="10"/>
    </w:rPr>
  </w:style>
  <w:style w:type="paragraph" w:styleId="9">
    <w:name w:val="heading 8"/>
    <w:basedOn w:val="1"/>
    <w:next w:val="1"/>
    <w:link w:val="37"/>
    <w:qFormat/>
    <w:uiPriority w:val="9"/>
    <w:pPr>
      <w:spacing w:after="0"/>
      <w:jc w:val="left"/>
      <w:outlineLvl w:val="7"/>
    </w:pPr>
    <w:rPr>
      <w:b/>
      <w:i/>
      <w:smallCaps/>
      <w:color w:val="4381CF"/>
    </w:rPr>
  </w:style>
  <w:style w:type="paragraph" w:styleId="10">
    <w:name w:val="heading 9"/>
    <w:basedOn w:val="1"/>
    <w:next w:val="1"/>
    <w:link w:val="38"/>
    <w:qFormat/>
    <w:uiPriority w:val="9"/>
    <w:pPr>
      <w:spacing w:after="0"/>
      <w:jc w:val="left"/>
      <w:outlineLvl w:val="8"/>
    </w:pPr>
    <w:rPr>
      <w:b/>
      <w:i/>
      <w:smallCaps/>
      <w:color w:val="25569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4"/>
    <w:qFormat/>
    <w:uiPriority w:val="99"/>
    <w:rPr>
      <w:sz w:val="18"/>
      <w:szCs w:val="18"/>
    </w:rPr>
  </w:style>
  <w:style w:type="paragraph" w:styleId="13">
    <w:name w:val="footer"/>
    <w:basedOn w:val="1"/>
    <w:link w:val="26"/>
    <w:qFormat/>
    <w:uiPriority w:val="99"/>
    <w:pPr>
      <w:tabs>
        <w:tab w:val="center" w:pos="4153"/>
        <w:tab w:val="right" w:pos="8306"/>
      </w:tabs>
      <w:snapToGrid w:val="0"/>
    </w:pPr>
    <w:rPr>
      <w:sz w:val="18"/>
      <w:szCs w:val="18"/>
    </w:rPr>
  </w:style>
  <w:style w:type="paragraph" w:styleId="14">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9"/>
    <w:qFormat/>
    <w:uiPriority w:val="11"/>
    <w:pPr>
      <w:spacing w:after="720" w:line="240" w:lineRule="auto"/>
      <w:jc w:val="right"/>
    </w:pPr>
    <w:rPr>
      <w:rFonts w:ascii="Cambria" w:hAnsi="Cambria"/>
      <w:szCs w:val="22"/>
    </w:rPr>
  </w:style>
  <w:style w:type="paragraph" w:styleId="16">
    <w:name w:val="Normal (Web)"/>
    <w:basedOn w:val="1"/>
    <w:semiHidden/>
    <w:unhideWhenUsed/>
    <w:qFormat/>
    <w:uiPriority w:val="99"/>
    <w:rPr>
      <w:rFonts w:ascii="Times New Roman" w:hAnsi="Times New Roman" w:cs="Times New Roman"/>
      <w:sz w:val="24"/>
      <w:szCs w:val="24"/>
    </w:rPr>
  </w:style>
  <w:style w:type="paragraph" w:styleId="17">
    <w:name w:val="Title"/>
    <w:basedOn w:val="1"/>
    <w:next w:val="1"/>
    <w:link w:val="29"/>
    <w:qFormat/>
    <w:uiPriority w:val="10"/>
    <w:pPr>
      <w:pBdr>
        <w:top w:val="single" w:color="8DB3E2" w:sz="12" w:space="1"/>
      </w:pBdr>
      <w:spacing w:line="240" w:lineRule="auto"/>
      <w:jc w:val="right"/>
    </w:pPr>
    <w:rPr>
      <w:smallCaps/>
      <w:sz w:val="48"/>
      <w:szCs w:val="48"/>
    </w:rPr>
  </w:style>
  <w:style w:type="character" w:styleId="20">
    <w:name w:val="Strong"/>
    <w:qFormat/>
    <w:uiPriority w:val="22"/>
    <w:rPr>
      <w:b/>
      <w:color w:val="8DB3E2"/>
    </w:rPr>
  </w:style>
  <w:style w:type="character" w:styleId="21">
    <w:name w:val="Emphasis"/>
    <w:qFormat/>
    <w:uiPriority w:val="20"/>
    <w:rPr>
      <w:b/>
      <w:i/>
      <w:spacing w:val="10"/>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paragraph" w:customStyle="1" w:styleId="23">
    <w:name w:val="List Paragraph_7fceb2ab-8ccb-4f27-a48c-4e287d89ff2a"/>
    <w:basedOn w:val="1"/>
    <w:qFormat/>
    <w:uiPriority w:val="34"/>
    <w:pPr>
      <w:ind w:left="720"/>
      <w:contextualSpacing/>
    </w:pPr>
  </w:style>
  <w:style w:type="character" w:customStyle="1" w:styleId="24">
    <w:name w:val="批注框文本 字符"/>
    <w:basedOn w:val="19"/>
    <w:link w:val="12"/>
    <w:qFormat/>
    <w:uiPriority w:val="99"/>
    <w:rPr>
      <w:sz w:val="18"/>
      <w:szCs w:val="18"/>
    </w:rPr>
  </w:style>
  <w:style w:type="character" w:customStyle="1" w:styleId="25">
    <w:name w:val="页眉 字符"/>
    <w:basedOn w:val="19"/>
    <w:link w:val="14"/>
    <w:qFormat/>
    <w:uiPriority w:val="99"/>
    <w:rPr>
      <w:sz w:val="18"/>
      <w:szCs w:val="18"/>
    </w:rPr>
  </w:style>
  <w:style w:type="character" w:customStyle="1" w:styleId="26">
    <w:name w:val="页脚 字符"/>
    <w:basedOn w:val="19"/>
    <w:link w:val="13"/>
    <w:qFormat/>
    <w:uiPriority w:val="99"/>
    <w:rPr>
      <w:sz w:val="18"/>
      <w:szCs w:val="18"/>
    </w:rPr>
  </w:style>
  <w:style w:type="paragraph" w:customStyle="1" w:styleId="27">
    <w:name w:val="Quote_7250c94f-e1a7-4534-8d2d-98099f9dfe4b"/>
    <w:basedOn w:val="1"/>
    <w:next w:val="1"/>
    <w:link w:val="28"/>
    <w:qFormat/>
    <w:uiPriority w:val="29"/>
    <w:rPr>
      <w:i/>
    </w:rPr>
  </w:style>
  <w:style w:type="character" w:customStyle="1" w:styleId="28">
    <w:name w:val="引用 字符"/>
    <w:basedOn w:val="19"/>
    <w:link w:val="27"/>
    <w:qFormat/>
    <w:uiPriority w:val="29"/>
    <w:rPr>
      <w:i/>
    </w:rPr>
  </w:style>
  <w:style w:type="character" w:customStyle="1" w:styleId="29">
    <w:name w:val="标题 字符"/>
    <w:basedOn w:val="19"/>
    <w:link w:val="17"/>
    <w:qFormat/>
    <w:uiPriority w:val="10"/>
    <w:rPr>
      <w:smallCaps/>
      <w:sz w:val="48"/>
      <w:szCs w:val="48"/>
    </w:rPr>
  </w:style>
  <w:style w:type="character" w:customStyle="1" w:styleId="30">
    <w:name w:val="标题 1 字符"/>
    <w:basedOn w:val="19"/>
    <w:link w:val="2"/>
    <w:qFormat/>
    <w:uiPriority w:val="9"/>
    <w:rPr>
      <w:smallCaps/>
      <w:spacing w:val="5"/>
      <w:sz w:val="32"/>
      <w:szCs w:val="32"/>
    </w:rPr>
  </w:style>
  <w:style w:type="character" w:customStyle="1" w:styleId="31">
    <w:name w:val="标题 2 字符"/>
    <w:basedOn w:val="19"/>
    <w:link w:val="3"/>
    <w:qFormat/>
    <w:uiPriority w:val="9"/>
    <w:rPr>
      <w:smallCaps/>
      <w:spacing w:val="5"/>
      <w:sz w:val="28"/>
      <w:szCs w:val="28"/>
    </w:rPr>
  </w:style>
  <w:style w:type="character" w:customStyle="1" w:styleId="32">
    <w:name w:val="标题 3 字符"/>
    <w:basedOn w:val="19"/>
    <w:link w:val="4"/>
    <w:qFormat/>
    <w:uiPriority w:val="9"/>
    <w:rPr>
      <w:smallCaps/>
      <w:spacing w:val="5"/>
      <w:sz w:val="24"/>
      <w:szCs w:val="24"/>
    </w:rPr>
  </w:style>
  <w:style w:type="character" w:customStyle="1" w:styleId="33">
    <w:name w:val="标题 4 字符"/>
    <w:basedOn w:val="19"/>
    <w:link w:val="5"/>
    <w:qFormat/>
    <w:uiPriority w:val="9"/>
    <w:rPr>
      <w:smallCaps/>
      <w:spacing w:val="10"/>
      <w:sz w:val="22"/>
      <w:szCs w:val="22"/>
    </w:rPr>
  </w:style>
  <w:style w:type="character" w:customStyle="1" w:styleId="34">
    <w:name w:val="标题 5 字符"/>
    <w:basedOn w:val="19"/>
    <w:link w:val="6"/>
    <w:qFormat/>
    <w:uiPriority w:val="9"/>
    <w:rPr>
      <w:smallCaps/>
      <w:color w:val="4381CF"/>
      <w:spacing w:val="10"/>
      <w:sz w:val="22"/>
      <w:szCs w:val="26"/>
    </w:rPr>
  </w:style>
  <w:style w:type="character" w:customStyle="1" w:styleId="35">
    <w:name w:val="标题 6 字符"/>
    <w:basedOn w:val="19"/>
    <w:link w:val="7"/>
    <w:qFormat/>
    <w:uiPriority w:val="9"/>
    <w:rPr>
      <w:smallCaps/>
      <w:color w:val="8DB3E2"/>
      <w:spacing w:val="5"/>
      <w:sz w:val="22"/>
    </w:rPr>
  </w:style>
  <w:style w:type="character" w:customStyle="1" w:styleId="36">
    <w:name w:val="标题 7 字符"/>
    <w:basedOn w:val="19"/>
    <w:link w:val="8"/>
    <w:qFormat/>
    <w:uiPriority w:val="9"/>
    <w:rPr>
      <w:b/>
      <w:smallCaps/>
      <w:color w:val="8DB3E2"/>
      <w:spacing w:val="10"/>
    </w:rPr>
  </w:style>
  <w:style w:type="character" w:customStyle="1" w:styleId="37">
    <w:name w:val="标题 8 字符"/>
    <w:basedOn w:val="19"/>
    <w:link w:val="9"/>
    <w:qFormat/>
    <w:uiPriority w:val="9"/>
    <w:rPr>
      <w:b/>
      <w:i/>
      <w:smallCaps/>
      <w:color w:val="4381CF"/>
    </w:rPr>
  </w:style>
  <w:style w:type="character" w:customStyle="1" w:styleId="38">
    <w:name w:val="标题 9 字符"/>
    <w:basedOn w:val="19"/>
    <w:link w:val="10"/>
    <w:qFormat/>
    <w:uiPriority w:val="9"/>
    <w:rPr>
      <w:b/>
      <w:i/>
      <w:smallCaps/>
      <w:color w:val="255692"/>
    </w:rPr>
  </w:style>
  <w:style w:type="character" w:customStyle="1" w:styleId="39">
    <w:name w:val="副标题 字符"/>
    <w:basedOn w:val="19"/>
    <w:link w:val="15"/>
    <w:qFormat/>
    <w:uiPriority w:val="11"/>
    <w:rPr>
      <w:rFonts w:ascii="Cambria" w:hAnsi="Cambria" w:eastAsia="宋体" w:cs="宋体"/>
      <w:szCs w:val="22"/>
    </w:rPr>
  </w:style>
  <w:style w:type="paragraph" w:customStyle="1" w:styleId="40">
    <w:name w:val="No Spacing_9ebc90f8-be43-45da-8b63-1a01d3daad88"/>
    <w:basedOn w:val="1"/>
    <w:link w:val="50"/>
    <w:qFormat/>
    <w:uiPriority w:val="1"/>
    <w:pPr>
      <w:spacing w:after="0" w:line="240" w:lineRule="auto"/>
    </w:pPr>
  </w:style>
  <w:style w:type="paragraph" w:customStyle="1" w:styleId="41">
    <w:name w:val="Intense Quote_d56a5c2c-37da-4717-88ea-e72545b656a3"/>
    <w:basedOn w:val="1"/>
    <w:next w:val="1"/>
    <w:link w:val="42"/>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2">
    <w:name w:val="明显引用 字符"/>
    <w:basedOn w:val="19"/>
    <w:link w:val="41"/>
    <w:qFormat/>
    <w:uiPriority w:val="30"/>
    <w:rPr>
      <w:b/>
      <w:i/>
      <w:color w:val="112845"/>
      <w:shd w:val="clear" w:color="auto" w:fill="8DB3E2"/>
    </w:rPr>
  </w:style>
  <w:style w:type="character" w:customStyle="1" w:styleId="43">
    <w:name w:val="不明显强调1"/>
    <w:qFormat/>
    <w:uiPriority w:val="19"/>
    <w:rPr>
      <w:rFonts w:ascii="Cambria" w:hAnsi="Cambria" w:eastAsia="宋体" w:cs="宋体"/>
      <w:i/>
      <w:iCs/>
      <w:color w:val="8DB3E2"/>
    </w:rPr>
  </w:style>
  <w:style w:type="character" w:customStyle="1" w:styleId="44">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5">
    <w:name w:val="不明显参考1"/>
    <w:qFormat/>
    <w:uiPriority w:val="31"/>
    <w:rPr>
      <w:i/>
      <w:iCs/>
      <w:smallCaps/>
      <w:color w:val="8DB3E2"/>
      <w:u w:color="8DB3E2"/>
    </w:rPr>
  </w:style>
  <w:style w:type="character" w:customStyle="1" w:styleId="46">
    <w:name w:val="明显参考1"/>
    <w:qFormat/>
    <w:uiPriority w:val="32"/>
    <w:rPr>
      <w:b/>
      <w:bCs/>
      <w:i/>
      <w:iCs/>
      <w:smallCaps/>
      <w:color w:val="8DB3E2"/>
      <w:u w:color="8DB3E2"/>
    </w:rPr>
  </w:style>
  <w:style w:type="character" w:customStyle="1" w:styleId="47">
    <w:name w:val="书籍标题1"/>
    <w:qFormat/>
    <w:uiPriority w:val="33"/>
    <w:rPr>
      <w:rFonts w:ascii="Cambria" w:hAnsi="Cambria" w:eastAsia="宋体" w:cs="宋体"/>
      <w:b/>
      <w:bCs/>
      <w:i/>
      <w:iCs/>
      <w:smallCaps/>
      <w:color w:val="4381CF"/>
      <w:u w:val="single"/>
    </w:rPr>
  </w:style>
  <w:style w:type="paragraph" w:customStyle="1" w:styleId="48">
    <w:name w:val="TOC 标题1"/>
    <w:basedOn w:val="2"/>
    <w:next w:val="1"/>
    <w:qFormat/>
    <w:uiPriority w:val="39"/>
    <w:pPr>
      <w:outlineLvl w:val="9"/>
    </w:pPr>
    <w:rPr>
      <w:lang w:bidi="en-US"/>
    </w:rPr>
  </w:style>
  <w:style w:type="paragraph" w:customStyle="1" w:styleId="49">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50">
    <w:name w:val="无间隔 字符"/>
    <w:basedOn w:val="19"/>
    <w:link w:val="40"/>
    <w:qFormat/>
    <w:uiPriority w:val="1"/>
  </w:style>
  <w:style w:type="character" w:customStyle="1" w:styleId="51">
    <w:name w:val="不明显强调2"/>
    <w:qFormat/>
    <w:uiPriority w:val="19"/>
    <w:rPr>
      <w:i/>
    </w:rPr>
  </w:style>
  <w:style w:type="character" w:customStyle="1" w:styleId="52">
    <w:name w:val="明显强调2"/>
    <w:qFormat/>
    <w:uiPriority w:val="21"/>
    <w:rPr>
      <w:b/>
      <w:i/>
      <w:color w:val="8DB3E2"/>
      <w:spacing w:val="10"/>
    </w:rPr>
  </w:style>
  <w:style w:type="character" w:customStyle="1" w:styleId="53">
    <w:name w:val="不明显参考2"/>
    <w:qFormat/>
    <w:uiPriority w:val="31"/>
    <w:rPr>
      <w:b/>
    </w:rPr>
  </w:style>
  <w:style w:type="character" w:customStyle="1" w:styleId="54">
    <w:name w:val="明显参考2"/>
    <w:qFormat/>
    <w:uiPriority w:val="32"/>
    <w:rPr>
      <w:b/>
      <w:bCs/>
      <w:smallCaps/>
      <w:spacing w:val="5"/>
      <w:sz w:val="22"/>
      <w:szCs w:val="22"/>
      <w:u w:val="single"/>
    </w:rPr>
  </w:style>
  <w:style w:type="character" w:customStyle="1" w:styleId="55">
    <w:name w:val="书籍标题2"/>
    <w:qFormat/>
    <w:uiPriority w:val="33"/>
    <w:rPr>
      <w:rFonts w:ascii="Cambria" w:hAnsi="Cambria" w:eastAsia="宋体" w:cs="宋体"/>
      <w:i/>
      <w:iCs/>
      <w:sz w:val="20"/>
      <w:szCs w:val="20"/>
    </w:rPr>
  </w:style>
  <w:style w:type="paragraph" w:customStyle="1" w:styleId="56">
    <w:name w:val="TOC 标题2"/>
    <w:basedOn w:val="2"/>
    <w:next w:val="1"/>
    <w:qFormat/>
    <w:uiPriority w:val="39"/>
    <w:pPr>
      <w:outlineLvl w:val="9"/>
    </w:pPr>
    <w:rPr>
      <w:lang w:bidi="en-US"/>
    </w:rPr>
  </w:style>
  <w:style w:type="paragraph" w:styleId="57">
    <w:name w:val="List Paragraph"/>
    <w:basedOn w:val="1"/>
    <w:qFormat/>
    <w:uiPriority w:val="34"/>
    <w:pPr>
      <w:ind w:firstLine="420" w:firstLineChars="200"/>
    </w:pPr>
  </w:style>
  <w:style w:type="character" w:customStyle="1" w:styleId="58">
    <w:name w:val="Unresolved Mention"/>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5ECCC-9051-4621-ADE0-97537378CA0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8524</Words>
  <Characters>10086</Characters>
  <Lines>69</Lines>
  <Paragraphs>19</Paragraphs>
  <TotalTime>0</TotalTime>
  <ScaleCrop>false</ScaleCrop>
  <LinksUpToDate>false</LinksUpToDate>
  <CharactersWithSpaces>10143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2022-10-13T00:17:00Z</dcterms:created>
  <dc:creator>Administrator</dc:creator>
  <cp:lastModifiedBy>孔顺利</cp:lastModifiedBy>
  <cp:lastPrinted>2022-11-21T00:19:00Z</cp:lastPrinted>
  <dcterms:modified xsi:type="dcterms:W3CDTF">2022-12-23T00:08:12Z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F4B79ECF715341E6875ED2EE7AB47F8D</vt:lpwstr>
  </property>
</Properties>
</file>