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rFonts w:ascii="微软雅黑" w:hAnsi="微软雅黑" w:eastAsia="微软雅黑" w:cs="Calibri"/>
          <w:sz w:val="22"/>
          <w:szCs w:val="24"/>
        </w:rPr>
      </w:pPr>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7"/>
        <w:rPr>
          <w:rFonts w:ascii="微软雅黑" w:hAnsi="微软雅黑" w:eastAsia="微软雅黑" w:cs="Calibri"/>
          <w:b/>
          <w:i/>
          <w:sz w:val="22"/>
          <w:szCs w:val="24"/>
        </w:rPr>
      </w:pPr>
      <w:r>
        <w:rPr>
          <w:rFonts w:hint="eastAsia" w:ascii="微软雅黑" w:hAnsi="微软雅黑" w:eastAsia="微软雅黑" w:cs="Calibri"/>
          <w:b/>
          <w:sz w:val="22"/>
          <w:szCs w:val="24"/>
        </w:rPr>
        <w:t>制作日期：</w:t>
      </w:r>
      <w:r>
        <w:rPr>
          <w:rFonts w:ascii="微软雅黑" w:hAnsi="微软雅黑" w:eastAsia="微软雅黑" w:cs="Calibri"/>
          <w:b/>
          <w:sz w:val="22"/>
          <w:szCs w:val="24"/>
        </w:rPr>
        <w:t xml:space="preserve">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2022/12/6</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隔夜夜盘市场走势</w:t>
      </w:r>
    </w:p>
    <w:p>
      <w:pPr>
        <w:keepNext w:val="0"/>
        <w:keepLines w:val="0"/>
        <w:pageBreakBefore w:val="0"/>
        <w:widowControl/>
        <w:kinsoku/>
        <w:wordWrap/>
        <w:overflowPunct/>
        <w:topLinePunct w:val="0"/>
        <w:autoSpaceDE/>
        <w:autoSpaceDN/>
        <w:bidi w:val="0"/>
        <w:adjustRightInd/>
        <w:snapToGrid/>
        <w:spacing w:after="120" w:line="288" w:lineRule="auto"/>
        <w:ind w:firstLine="480" w:firstLineChars="200"/>
        <w:jc w:val="left"/>
        <w:textAlignment w:val="auto"/>
        <w:rPr>
          <w:rFonts w:hint="eastAsia" w:ascii="仿宋" w:hAnsi="仿宋" w:eastAsia="仿宋" w:cs="仿宋"/>
          <w:sz w:val="24"/>
          <w:szCs w:val="28"/>
        </w:rPr>
      </w:pPr>
      <w:r>
        <w:rPr>
          <w:rFonts w:hint="eastAsia" w:ascii="仿宋" w:hAnsi="仿宋" w:eastAsia="仿宋" w:cs="仿宋"/>
          <w:sz w:val="24"/>
          <w:szCs w:val="28"/>
        </w:rPr>
        <w:t>国内期货主力合约多数下跌。SC原油跌近5%，纯碱跌超3%，沪银、棕榈油跌超2%，PTA、甲醇跌超1%。涨幅方面，沪锡、棉纱涨超1%。</w:t>
      </w:r>
    </w:p>
    <w:p>
      <w:pPr>
        <w:keepNext w:val="0"/>
        <w:keepLines w:val="0"/>
        <w:pageBreakBefore w:val="0"/>
        <w:widowControl/>
        <w:kinsoku/>
        <w:wordWrap/>
        <w:overflowPunct/>
        <w:topLinePunct w:val="0"/>
        <w:autoSpaceDE/>
        <w:autoSpaceDN/>
        <w:bidi w:val="0"/>
        <w:adjustRightInd/>
        <w:snapToGrid/>
        <w:spacing w:after="120" w:line="288" w:lineRule="auto"/>
        <w:ind w:firstLine="480" w:firstLineChars="200"/>
        <w:jc w:val="left"/>
        <w:textAlignment w:val="auto"/>
        <w:rPr>
          <w:rFonts w:hint="eastAsia" w:ascii="仿宋" w:hAnsi="仿宋" w:eastAsia="仿宋" w:cs="仿宋"/>
          <w:sz w:val="24"/>
          <w:szCs w:val="28"/>
        </w:rPr>
      </w:pPr>
      <w:r>
        <w:rPr>
          <w:rFonts w:hint="eastAsia" w:ascii="仿宋" w:hAnsi="仿宋" w:eastAsia="仿宋" w:cs="仿宋"/>
          <w:sz w:val="24"/>
          <w:szCs w:val="28"/>
        </w:rPr>
        <w:t>国外期货涨跌一览。CBOT大豆跌0.03%，CBOT玉米跌0.93%，CBOT豆油跌3.73%，CBOT豆粕涨1.69%，CBOT小麦跌2.63%；伦铜跌1.07%，伦铝跌1.51%，伦锌涨1.17%，伦铅涨1.29%，伦镍跌1.25%。</w:t>
      </w:r>
    </w:p>
    <w:p>
      <w:pPr>
        <w:spacing w:after="120" w:line="288" w:lineRule="auto"/>
        <w:jc w:val="left"/>
        <w:rPr>
          <w:rFonts w:hint="eastAsia" w:ascii="仿宋" w:hAnsi="仿宋" w:eastAsia="仿宋" w:cs="仿宋"/>
          <w:sz w:val="24"/>
          <w:szCs w:val="28"/>
        </w:rPr>
      </w:pPr>
    </w:p>
    <w:p>
      <w:pPr>
        <w:spacing w:after="120" w:line="288" w:lineRule="auto"/>
        <w:ind w:firstLine="480"/>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【宏观资讯】</w:t>
      </w:r>
    </w:p>
    <w:p>
      <w:pPr>
        <w:spacing w:after="120" w:line="288" w:lineRule="auto"/>
        <w:jc w:val="both"/>
        <w:rPr>
          <w:rFonts w:hint="eastAsia" w:ascii="仿宋" w:hAnsi="仿宋" w:eastAsia="仿宋" w:cs="仿宋"/>
          <w:b/>
          <w:bCs/>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易会满：进一步健全资本市场功能</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证监会主席易会满在接受人民日报采访时表示，健全资本市场功能，更好服务实体经济和投资者是一项系统性工程。要建设中国特色现代资本市场，进一步健全资本市场功能，更好服务构建新发展格局、推动高质量发展。在注册制改革方面，我们提出坚持尊重注册制基本内涵、借鉴国际最佳实践、体现中国特色和发展阶段特征3个原则，突出把选择权交给市场这个本质，建立了以信息披露为核心、全流程公开透明的发行上市制度。同时，从我国国情出发，坚持放管结合，加强事中事后监管，绝不是一放了之。从注册制试点情况看，市场各方总体上是认可的，获得感也是强的。</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乘联会：预估11月新能源乘用车厂家批发销量73.2万辆，环比10月增长约8%</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11月全国新能源乘用车市场产销态势较强，比亚迪、特斯拉、上汽通用五菱等领军厂商保持强势良好态势。考虑到主力企业中的个别企业11月减产因素与增量因素的平衡，11月主力企业占比较上月主力企业（万辆以上）保持基本稳定，因此预估11月乘联会新能源乘用车厂家批发销量73.2万辆，环比10月增长约8%，同比去年11月增长约71%。</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rPr>
        <w:t>上海市继续优化调整疫情防控措施</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上海发布，上海市继续优化调整疫情防控措施，包括保留全市常态化核酸检测采样点，继续提供免费检测服务，对7天内无核酸检测记录的不再赋黄码。除养老机构、儿童福利机构、医疗机构、学校（含托幼机构）以及密闭娱乐场所（包括KTV、棋牌室、密室剧本杀、网吧）、餐饮服务（含酒吧）场所等有特殊防疫要求的场所外，其余公共场所不再查验核酸检测阴性证明。</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rPr>
      </w:pPr>
      <w:r>
        <w:rPr>
          <w:rFonts w:hint="eastAsia" w:ascii="仿宋" w:hAnsi="仿宋" w:cs="仿宋"/>
          <w:b/>
          <w:bCs/>
          <w:sz w:val="24"/>
          <w:szCs w:val="28"/>
          <w:lang w:val="en-US" w:eastAsia="zh-CN"/>
        </w:rPr>
        <w:t>11月财新中国服务业PMI降至46.7，就业指数创新低</w:t>
      </w:r>
      <w:r>
        <w:rPr>
          <w:rFonts w:hint="eastAsia" w:ascii="仿宋" w:hAnsi="仿宋" w:cs="仿宋"/>
          <w:b/>
          <w:bCs/>
          <w:sz w:val="24"/>
          <w:szCs w:val="28"/>
        </w:rPr>
        <w:t xml:space="preserve"> </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12月5日公布的11月财新中国通用服务业经营活动指数（服务业PMI）录得46.7，较10月下降1.7个百分点，连续三个月低于临界点，且为6月来新低。财新智库高级经济学家王喆表示，目前中国处于2020年初和2022年上半年之后的第三波疫情之中，疫情持续对经济产生不利影响。目前看来，第三波疫情对供求两端的限制弱于前两波疫情，但就业市场恶化情况较为突出。10月以来，疫情在多省市蔓延，如何平衡疫情防控和经济发展再次成为核心议题。日前，中央对进一步优化防控工作的措施作出重要部署、提出明确要求，如何落实成为重中之重。</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权威解读：奥密克戎变异株导致肺炎或重症比例比流感低</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央视新闻，北京市呼吸疾病研究所所长童朝晖表示，国际和国内监测数据证实，奥密克戎变异株及其进化分支的致病力和毒力相比原始株和德尔塔等变异株明显减弱。童朝晖表示，奥密克戎变异株引起重症和死亡的比例明显低于之前原始株和关切变异株，这既是奥密克戎变异株的特点，也与人群接种疫苗免疫水平提高和国家采取的积极预防策略有关。与2009年全球流感流行时期相比，目前奥密克戎变异株导致肺炎或者重症、危重症的比例相对较低。</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中港协：11月下旬港口生产运行监测与分析</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据中国港口协会数据，11月下旬，我会监测沿海重点枢纽港口货物吞吐量同比下降7.65%。其中外贸同比下降10.53%，内贸同比下降4.88%。</w:t>
      </w:r>
    </w:p>
    <w:p>
      <w:pPr>
        <w:spacing w:after="120" w:line="288" w:lineRule="auto"/>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鞠建华：“十四五”期间，力争铁矿石年供应量稳定在3亿吨左右（标矿）</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自然资源部矿产资源保护监督司司长鞠建华在接受《世界金属导报》专访时表示，“十四五”期间，自然资源管理部门在铁矿资源勘查规划布局方面，将加快25个铁矿资源基地建设和28个国家规划矿区勘查开发，推动形成以大中型矿山为主体的供应格局。同时，确保现有铁矿供应能力稳步提升，积极推进一批铁矿建设项目，实施重点勘查区的找矿突破行动，加快增储上产，力争铁矿石年供应量稳定在3亿吨左右（标矿），为我国铁矿资源保障发挥基本支撑作用。</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中国47港铁矿石到港总量2384.8万吨，环比增加36.9万吨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11月28日—12月4日中国47港到港总量2384.8万吨，环比增加36.9万吨；中国45港到港总量2318.7万吨，环比增加58.3万吨；北方六港到港总量为1304.7万吨，环比增加277.8万吨。</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澳洲巴西19港铁矿发运总量2613.2万吨，环比增加98.4万吨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11月28日—12月4日Mysteel澳洲巴西19港铁矿发运总量2613.2万吨，环比增加98.4万吨。澳洲发运量1923.0万吨，环比增加60.4万吨，其中澳洲发往中国的量1658.8万吨，环比增加32.2万吨。巴西发运量690.3万吨，环比增加38.0万吨。全球铁矿石发运总量3180.6万吨，环比增加360.4万吨。</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杰富瑞集团：恶劣天气可能会提振铁矿石价格</w:t>
      </w:r>
    </w:p>
    <w:p>
      <w:pPr>
        <w:pStyle w:val="57"/>
        <w:numPr>
          <w:numId w:val="0"/>
        </w:numPr>
        <w:spacing w:after="120" w:line="288" w:lineRule="auto"/>
        <w:ind w:leftChars="0"/>
        <w:jc w:val="left"/>
        <w:rPr>
          <w:rFonts w:hint="eastAsia" w:ascii="仿宋" w:hAnsi="仿宋" w:cs="仿宋"/>
          <w:b/>
          <w:bCs/>
          <w:sz w:val="24"/>
          <w:szCs w:val="28"/>
          <w:lang w:val="en-US" w:eastAsia="zh-CN"/>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杰富瑞分析师在一份报告中说，未来几个月铁矿石价格应会受到季节性供应挑战的提振。自11月初以来，受楼市稳定和防疫限制措施放松的支撑，铁矿石基准价格上涨了35%。澳大利亚和巴西在年初前后可能发生的严重风暴，这种季节性的供应限制将在未来2-3个月对铁矿石价格带来提振。力拓和淡水河谷最有可能从铁矿石价格走强中获益。</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安徽：到2025年，全省规模以上工业单位增加值能耗较2020年下降15%</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近日安徽省经济和信息化厅印发《安徽省工业领域碳达峰实施方案》的通知。其中提到，到2025年，全省规模以上工业单位增加值能耗较2020年下降15%，单位工业增加值二氧化碳排放较2020年下降18%。力争工业领域二氧化碳排放2030年前达峰，推动钢铁、水泥等有条件的重点行业率先达峰。遏制高耗能高排放低水平项目盲目发展。对已建成投产的存量“两高”项目，有节能减排潜力的加快改造升级，属于落后产能的加快淘汰。严格落实钢铁、水泥熟料、平板玻璃等行业产能置换政策，严禁违法违规新增产能。</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中港协：11月下旬重点监测港口煤炭吞吐量同比大幅回落</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11月下旬，秦皇岛港与神华黄骅港煤炭吞吐量同比减少22.6%。港口库存方面，11月30日，两港库存同比增加9.9%，较11月20日增加4.4%，秦皇岛港港存量回升至580万吨。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美国大豆出口检验量报告</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美国农业部数据显示，截至2022年12月1日当周，美国大豆出口检验量为1721828吨，前一周修正后为2226948吨，初值为2022443吨。2021年12月2日当周，美国大豆出口检验量为2369146吨。本作物年度迄今，美国大豆出口检验量累计为21175728吨，上一年度同期23769496吨。美国对中国（大陆地区）装运1227045吨大豆。前一周美国对中国大陆装运1496590吨大豆。当周美国对华大豆出口检验量占到该周出口检验总量的71.26%，上周是74.00%。</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发改委：截至11月30日，猪粮比价为7.97</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据国家发改委数据，截至11月30日，全国生猪出场价格为23.92元/公斤，较11月23日下跌4.70%；主要批发市场玉米价格为3.00元/公斤，较11月23日上涨1.35%；猪粮比价为7.97，较11月23日下跌6.01%。</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牧原股份：将2022年生猪预计出栏量上调为6100万头-6200万头</w:t>
      </w:r>
    </w:p>
    <w:p>
      <w:pPr>
        <w:pStyle w:val="57"/>
        <w:numPr>
          <w:numId w:val="0"/>
        </w:numPr>
        <w:spacing w:after="120" w:line="288" w:lineRule="auto"/>
        <w:ind w:leftChars="0"/>
        <w:jc w:val="left"/>
        <w:rPr>
          <w:rFonts w:hint="eastAsia" w:ascii="仿宋" w:hAnsi="仿宋" w:cs="仿宋"/>
          <w:b/>
          <w:bCs/>
          <w:sz w:val="24"/>
          <w:szCs w:val="28"/>
          <w:lang w:val="en-US" w:eastAsia="zh-CN"/>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牧原股份公告，结合近期公司生猪生产、销售的变化，公司将2022年生猪预计出栏量区间上调为6100万头-6200万头，高于此前在2021年度报告中披露的出栏量区间5000万头-5600万头。同日公告，11月份，公司销售生猪517.1万头，销售收入148.42亿元。11月份，公司商品猪价格相比10月呈现下降走势，商品猪销售均价23.33元/公斤，比2022年10月份下降10.44%。</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预计2022年新季苹果产量为3518.59万吨，较2021年减少243.11万吨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由于果农普遍认为减产幅度较大，对今年苹果市场行情有较高预期，因此加大投入力度。今年8月份仍有果农给果树追肥，使得今年果个整体偏大，尤其是山东产区80#以上大果占比达到80%以上，一定程度上弥补坐果率偏低导致的产量减少。根据卓创资讯调研预估，2022年新季苹果产量为3518.59万吨，较2021年减少243.11万吨（减幅6.32%），较近五年均值（3727.86万吨）低5.61%。</w:t>
      </w: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全国重点地区棕榈油商业库存较上周增加5.13万吨，增幅5.53%</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Mysteel，截至2022年12月2日（第48周），全国重点地区豆油商业库存约73.835万吨，较上周减少0.725万吨，降幅0.97%。全国重点地区棕榈油商业库存约97.88万吨，较上周增加5.13万吨，增幅5.53%；同比2021年第47周棕榈油商业库存增加55.41万吨，增幅130.47%。</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全国主要油厂大豆实际压榨量为202.5万吨，开机率为70.39%</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Mysteel对国内主要油厂调查数据显示：2022年第48周，全国主要油厂大豆库存下降，豆粕库存、未执行合同均上升。开机情况：第48周（11月26日至12月2日）全国主要油厂大豆实际压榨量为202.5万吨，开机率为70.39%。成交情况：第48周共成交44.79万吨，日均成交8.96万吨，成交均价5072元/吨。其中大豆库存为338.16万吨。</w:t>
      </w:r>
    </w:p>
    <w:p>
      <w:pPr>
        <w:pStyle w:val="57"/>
        <w:numPr>
          <w:numId w:val="0"/>
        </w:numPr>
        <w:spacing w:after="120" w:line="288" w:lineRule="auto"/>
        <w:ind w:leftChars="0"/>
        <w:jc w:val="left"/>
        <w:rPr>
          <w:rFonts w:hint="eastAsia" w:ascii="仿宋" w:hAnsi="仿宋" w:cs="仿宋"/>
          <w:b/>
          <w:bCs/>
          <w:sz w:val="24"/>
          <w:szCs w:val="28"/>
          <w:lang w:val="en-US" w:eastAsia="zh-CN"/>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全国进口大豆港口库存环比减少16.003万吨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据Wind数据，截至12月5日，全国进口大豆港口库存为552.88万吨，11月28日为568.883万吨，环比减少16.003万吨。</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民间出口商报告向中国出口销售130000吨大豆</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美国农业部（USDA）公布数据，民间出口商报告向中国出口销售130000吨大豆，于2022/2023年度交货。美国大豆的市场年度始于9月1日。</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截至12月1日，巴西2022/23年大豆播种率为91％</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外媒报道，农业咨询公司AgRural周一表示，巴西2022/2023年度大豆播种达到预估面积的91%，低于去年同期的94%。在中西部地区，零星降雨和高温令农民担忧，尤其是那些播种农作物较早的农民。12月份的降雨将是决定大豆单产的关键。另外，干燥炎热的天气也令巴西南部的大豆种植户感到担忧，特别是在南里奥格兰德州的种植户，该州缺乏雨水导致播种作业有所延误。AgRural数据显示，巴西首茬玉米作物播种达到预估面积的93%，去年同期播种完成94%。</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澳大利亚小麦产量料创纪录高位，尽管遭遇洪水</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外媒报道，澳大利亚政府表示，预计22/23年度澳大利亚将迎来农作物丰收的一年。其中，小麦产量料创下纪录高位，尽管该国东部地区遭受大范围洪水的影响。澳洲农业资源经济及科技局（ABARES）在一份报告中称，澳大利亚冬季作物总产量预估将达到6200万吨，为有纪录的第二高水平。ABARES主管Jared Greenville表示，虽然春季的降雨影响了部分地区的农作物产量、单产和品质，但一些州正收获有记录以来最好的冬季作物。另外，他预计澳大利亚小麦产量在22/23年度将达到创纪录的3660万吨。</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截至11月末，巴西糖配额外估算进口成本环比上涨137元/吨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泛糖科技，截至11月末，巴西糖配额内估算进口成本约为5358元/吨，配额外估算进口成本约为6836元/吨，环比分别上涨105元/吨、137元/吨。泰国糖配额内估算进口成本约为5654元/吨，配额外估算进口成本为7223元/吨，环比分别上涨214/吨、280元/吨。相较国内沿海加工糖主流报价5650~5930元/吨，巴西配额外进口利润约为-1100~-900元/吨。</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MPOB 11月月报前瞻：11月马棕油库存料为239万吨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据路透、彭博调查公布预测显示，马来西亚11月棕榈油库存可能环比下滑，因产量减少出口大增。</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①马来西亚2022年11月棕榈油产量料为172万吨，较10月份的181.4万吨减少5%；</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②马来西亚2022年11月棕榈油出口料为155万吨，较10月份的150.4万吨增加3%；</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③马来西亚2022年11月棕榈油库存料为239万吨，较10月份的240万吨减少0.47%；</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④马来西亚2022年11月棕榈油进口料为7.75万吨，较10月份的6.6万吨增加17.4%。</w:t>
      </w:r>
    </w:p>
    <w:p>
      <w:pPr>
        <w:spacing w:after="120" w:line="288" w:lineRule="auto"/>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部分地区油价重回7元区间，加满一箱油少花17.5元</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根据国家发改委消息，新一轮成品油调价窗口将于今天（12月5日）24时开启。央视财经记者从国家发改委获悉，受国际油价大幅下跌影响，国内成品油价格连续第二次下调，部分地区92号汽油重回7元区间。本次油价调整具体情况如下：国内汽、柴油零售限价每吨分别下调440元、425元。按一般家用汽车油箱50L容量估测，加满一箱92号汽油，将少花17.5元。</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外交部：能源合作已成为中国和阿拉伯国家合作的重要领域</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毛宁表示，能源合作已经成为中国和阿拉伯国家合作的重要领域。从传统能源到清洁能源、低碳经济、能源转型，中阿能源合作具有巨大潜力。中国愿同阿拉伯国家共同努力，不断深化各领域合作，更多惠及中阿人民。</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中港协：11月下旬重点监测港口原油吞吐量小幅回落</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近期国际市场油价在80-90美元/桶区间震荡，G7和澳洲同意对俄石油设定60美元的价格上限。11月下旬，我会重点监测沿海港口原油吞吐量同比下降0.5%。其中，大连港增长75%，天津港增长16.6%。库存方面，11月30日，重点监测港口库存同比增加10%，较11月20日下降4.5%。</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中方是否考虑加入美欧对俄原油限价？外交部回应</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北京日报，12月5日，外交部发言人毛宁主持例行记者会。有记者提问，美欧正在对俄罗斯原油采取限价政策以及海运石油的禁运，中方是否考虑加入这个协议？另外你认为此举会对市场秩序和能源安全造成什么样的影响？毛宁表示，中俄始终本着相互尊重、互利共赢的精神，开展能源合作。具体的问题请你向中方的主管部门了解。毛宁说，关于你的第二个问题，石油是全球大宗商品之一，确保全球能源供应安全至关重要。我们认为各方都应为此作出建设性努力。</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韩政府：与有官方商议韩参与对俄油限价事宜</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韩国外交部官员5日就政府是否会与西方国家对俄油限价措施保持步调一致表示，政府此前表明有意参与，将继续与有关国家就此进行磋商。欧盟、七国集团（G7）、澳大利亚当地时间2日决定将俄罗斯海运出口的原油价格上限定为每桶60美元，有关措施自5日起正式生效。经济副总理兼企划财政部长官秋庆镐7月会见到访的美国财政部长珍妮特·耶伦时曾表明韩方愿参与其中的意向。对于上述措施将给国内经济带来的影响，该官员表示，目前政府尚无从俄罗斯进口原油，以及提供有关海运、保险等相关服务的计划。即便实施有关措施，预计对国内也不会产生太大影响。</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沙特下调了1月份大部分销往亚洲的石油价格</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沙特下调了1月份大部分销往亚洲的石油价格，下调至升水3.25美元/桶；下调1月销往欧洲的大部分石油价格，将1月销往美国的石油价格维持不变；将1月销往欧洲西北部的阿拉伯轻质石油官方售价设为较布伦特原油结算价-0.10美元/桶；将1月销往美国的阿拉伯轻质石油官方售价设为较阿格斯含硫原油升水6.35美元/桶。</w:t>
      </w:r>
    </w:p>
    <w:p>
      <w:pPr>
        <w:spacing w:after="120" w:line="288" w:lineRule="auto"/>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【金属期货】</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澳大利亚矿商IGO旗下Nova镍矿暂停镍生产</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外媒报道，澳洲矿商IGO公司周一表示，公司旗下位于西澳的Nova镍矿将停产约四周，因其电力设施周末发生火灾。该公司在提交给澳大利亚证券交易所的一份文件中表示，火灾对发电站的发动机室造成了“严重破坏”，虽然没有人员伤亡，但恢复全面供电预计需要大约四周时间。经纪商Ord Minnett的分析师Dylan Kelly估计，镍产量可能下降12%，至2.3万吨，而生产成本将上升5%，至每磅3.0澳元。Nova在上一财年的镍产量为26675吨。此外，IGO周一表示，公司旗下位于西澳的Kwinana氢氧化锂炼厂已开始商业化生产。</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江西宜春多家锂企停产，锂盐绿色安全生产再拉警报</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近日，江西宜春多家锂盐企业先后宣布停产，背后的环保诱因引发外界关注。12月5日，宜春上高县政府环保局相关负责人表示，环保局方面并未向位于上高县的锂盐公司出具停产文件，两家控股公司也表示情况以公告为准。但从消息人士处获悉，此次宜春多家锂盐公司一并停产，最大的可能原因仍然是宜春所辖高安市的锦江水质近期出现严重金属污染(钽元素超标)，而位于锦江上游的锂盐企业为配合环保调查，被一并要求临时停产。</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印度贸易部寻求削减黄金关税以遏制走私</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据外媒报道，印度贸易部正在讨论降低黄金进口税以控制非法运输。印度作为世界第二大贵金属消费国几乎全部从国外采购，现在已要求财政部考虑将关税从12.5%降至10%左右。</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SMM七地锌锭库存总量较上周五（12月2日）增加0.34万吨</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金十期货12月5日讯，据SMM调研，截至本周一（12月5日），SMM七地锌锭库存总量为5.45万吨，较上周五（12月2日）增加0.34万吨，较上周一（11月28日）持平，国内库存小幅录增。其中上海市场，由于疫情导致的运输影响小幅恢复，在途部分看到入库，而下游采购力度并不积极，上海库存录增；天津市场，在到货量偏低的背景下，部分持货商将天津库存发往华东，虽本地消费一般，当仍旧带动市场去库。</w:t>
      </w:r>
    </w:p>
    <w:p>
      <w:pPr>
        <w:spacing w:after="120" w:line="288" w:lineRule="auto"/>
        <w:rPr>
          <w:rFonts w:hint="eastAsia" w:ascii="仿宋" w:hAnsi="仿宋" w:eastAsia="仿宋" w:cs="仿宋"/>
          <w:sz w:val="24"/>
          <w:szCs w:val="28"/>
        </w:rPr>
      </w:pPr>
    </w:p>
    <w:p>
      <w:pPr>
        <w:pStyle w:val="57"/>
        <w:numPr>
          <w:ilvl w:val="0"/>
          <w:numId w:val="1"/>
        </w:numPr>
        <w:spacing w:after="120" w:line="288" w:lineRule="auto"/>
        <w:ind w:firstLineChars="0"/>
        <w:jc w:val="left"/>
        <w:rPr>
          <w:rFonts w:hint="eastAsia" w:ascii="仿宋" w:hAnsi="仿宋" w:cs="仿宋"/>
          <w:b/>
          <w:bCs/>
          <w:sz w:val="24"/>
          <w:szCs w:val="28"/>
          <w:lang w:val="en-US" w:eastAsia="zh-CN"/>
        </w:rPr>
      </w:pPr>
      <w:r>
        <w:rPr>
          <w:rFonts w:hint="eastAsia" w:ascii="仿宋" w:hAnsi="仿宋" w:cs="仿宋"/>
          <w:b/>
          <w:bCs/>
          <w:sz w:val="24"/>
          <w:szCs w:val="28"/>
          <w:lang w:val="en-US" w:eastAsia="zh-CN"/>
        </w:rPr>
        <w:t>沪铝重心继续上移 关注来货状况</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国内地产和防疫政策双向刺激市场做多情绪，沪铝重心继续走高，国内铝社会库存维持小幅去化节奏，对铝价下方有一定支撑。但预计受疫情影响上游货物积压情况或将改善，短期需求改善不明显，宏观利好集中兑现，上方存在一定压力。</w:t>
      </w: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88" w:lineRule="auto"/>
        <w:rPr>
          <w:rFonts w:ascii="微软雅黑" w:hAnsi="微软雅黑" w:eastAsia="微软雅黑" w:cs="Calibri"/>
          <w:b/>
          <w:smallCaps/>
          <w:color w:val="112845"/>
          <w:sz w:val="32"/>
          <w:szCs w:val="36"/>
        </w:rPr>
      </w:pPr>
    </w:p>
    <w:p>
      <w:pPr>
        <w:pStyle w:val="23"/>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r>
        <w:rPr>
          <w:rFonts w:eastAsia="仿宋" w:cs="Calibri"/>
          <w:sz w:val="24"/>
          <w:szCs w:val="28"/>
        </w:rPr>
        <w:t> </w:t>
      </w:r>
      <w:r>
        <w:rPr>
          <w:rFonts w:hint="eastAsia" w:ascii="仿宋" w:hAnsi="仿宋" w:eastAsia="仿宋" w:cs="仿宋"/>
          <w:sz w:val="24"/>
          <w:szCs w:val="28"/>
        </w:rPr>
        <w:t xml:space="preserve"> </w:t>
      </w:r>
      <w:r>
        <w:rPr>
          <w:rFonts w:eastAsia="仿宋" w:cs="Calibri"/>
          <w:sz w:val="24"/>
          <w:szCs w:val="28"/>
        </w:rPr>
        <w:t> </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1、中国信登数据显示，11月信托行业新增完成初始登记信托产品3302笔，环比增长26.85%，同比增长14.49%；初始募集规模4174.34亿元，环比增长17.45%，同比下降32.72%。新增产品平均规模同比下降41.24%。</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2、陆金所香港发布通知称，自明年1月6日起，公司将退出香港零售业务，无限期暂停注册、开户、充值、产品认购、基金定投以及其他新产品或新服务的申请，仅提供资产转移、资产变现、取现、换汇等服务。</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经济参考报，临近年末，越来越多的基金产品加入清盘行列。据统计，按照基金合同终止日期，截至12月5日，年内共有324只公募基金产品清盘，其中，11月清盘基金数量最多，共有57只。从清盘原因来看，主要包括基金资产净值低于合同限制、基金持有人大会同意终止等。</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据中国证券报，QDII基金加速扩容。据统计，今年以来，新成立QDII基金超过60只，累计发行规模超60亿元。其中，南方恒生香港上市生物科技ETF发行规模最大，达到11.09亿份。全市场运作中的QDII基金份额突破3700亿份，较去年末增加74.3%。越来越多的新成立QDII基金，将投资区域从香港市场扩展到全球。</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楼市</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1、芜湖：多子女家庭首次申请公积金贷款购买普通自住住房，可在原享受贷款额度基础上浮，二孩家庭最高上浮10%，三孩及以上家庭最高上浮20%。</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2、潜江市审计局组建“保交楼”审计工作专班，对潜江市部分项目商品房预售资金开展审查工作，并已将审查发现的一批疑点和线索移送有关方面处理。</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3、苏州市第五批次集中供地结束，10宗地块全部成交，其中工业园区3宗地块全部溢价成交，合计收金132亿元。</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产业</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据证券时报，随着近期疫情防控措施进一步调整优化，多地电影院陆续恢复营业。全国影院营业率在一度跌破40%后，近期开始显著回升。12月，各影院最关注的就是《阿凡达：水之道》的上映。目前距离该片在国内上映仅有11天，影片在猫眼平台的“想看”人数已攀升至120万人，远远超出《流浪地球2》的46万。如影院能在该片上映前恢复营业，有望缓解此前低票房带来的经营压力。</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六部门修改《网络预约出租汽车经营服务管理暂行办法》，删除了未按照规定携带网络预约出租汽车运输证、驾驶员证行为的罚款规定，对未取得网络预约出租汽车运输证、驾驶员证从事网约车经营活动等行为的罚款数额予以下调。</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3、乘联会发文称，预估11月新能源乘用车厂家批发销量73.2万辆，环比增长约8%，同比增长约71%。</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4、国家邮政局监测数据显示，11月27日以来，全国快递日均业务量连续稳步上涨，特别是12月2日至4日，连续三天日均超3亿件，实现了迅速反弹。</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5、深圳出台大力推进分布式光伏发电若干措施，力争“十四五”期间全市新增光伏装机容量150万千瓦。重点推动工业园区规模化布局光伏项目，引导大型企业集团积极开展光伏项目建设，支持国有企业规模化建设光伏项目。</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6、苏州发布“生物医药十二条” 新政，通过设立总规模100亿元专项基金、加强企业融资服务、提供专项贴息支持等，支持苏州市生物医药企业健康发展。</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7、据中国纺织工业联合会数据，1-10月，规模以上纺织企业工业增加值同比下降0.9%；行业亏损面23.3%，同比扩大3个百分点。</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海外</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1、欧洲央行管委、法国央行行长维勒鲁瓦表示，欧洲央行12月应加息50个基点，以帮助抑制不断飙升的消费价格。</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2、有望在明年四月接替黑田东彦成为日本央行行长的伊藤隆敏表示，由于今年的生活成本持续超出市场预期，日本央行可能在2023年实现2%的通胀目标。</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3、韩国总统尹锡悦称，2022年韩国出口额将突破6800亿美元，创下历史新高。政府将集中提振出口所需的一切力量，争取到2026年跻身全球五大出口强国之列。</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美国11月ISM非制造业PMI意外上升至56.5，市场预期为由前值54.4下降至53.1。不过，标普全球公布数据显示，美国11月Markit服务业、综合PMI终值均为46.2，均创8月份以来新低，也均连续五个月萎缩。另外，美国10月工厂订单环比升1%，预期升0.7%，前值升0.3%。</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5、欧元区11月服务业PMI终值48.5，创21个月新低，预期和初值为48.6；综合PMI终值47.8，符合预期和初值。法国11月服务业PMI终值49.3，综合PMI终值48.7，均较初值下调0.1个。德国11月服务业PMI终值46.1，综合PMI终值46.3，此前市场预期均将持平于46.4的初值。</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6、欧元区12月Sentix投资者信心指数为-21，为6月以来新高，预期-27.6，前值-30.9。欧元区10月零售销售同比降2.7%，环比降1.8%，降幅较前值明显扩大，且均超市场预期。</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7、日本11月服务业PMI报50.3，创8月以来新低，略好于预期的50。11月综合PMI降至48.9，符合预期。</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8、英国11月服务业PMI终值为48.8，与市场预期、初值和前值一致。11月综合PMI为48.2，创22个月低点，较初值48.3略有下调。</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国际股市</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热门中概股涨跌不一，亿航智能涨34.27%，新濠影汇涨24.48%，格林酒店涨13.8%，水滴公司涨13.66%，涂鸦智能涨11.38%，方多多涨10.57%，欢聚涨5.56%；跌幅方面，玩美跌19.72%，亚朵跌13.11%，四季教育跌9.75%，满帮集团跌8.21%，斗鱼跌8.09%，再鼎医药跌7.82%，华迪国际跌7.49%。中概新能源汽车股全线走低，蔚来汽车跌2.55%，小鹏汽车跌1.05%，理想汽车跌2.94%。</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2、摩根士丹利策略师Michal Wilson认为，最近美股反弹已足够多，他建议投资者最好锁定利润。他预计标普500指数在上周升穿200日移动均线后将恢复跌势，称年初以来的下行趋势仍未改变。</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3、特斯拉回应“上海工厂计划减产20%”传闻称，消息不实。乘联会预估，特斯拉上海超级工厂11月交付量首次突破10万辆，达到创纪录的100291辆，全年有望冲击75万辆的年销量。</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4、亚马逊计划在未来几个月裁员2万人，约占公司员工总数的6%，包括配送中心员工、技术人员和企业高管均可能被裁，这一人数为此前报道的两倍。</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5、新西兰拟立法要求谷歌、Meta等大型科技公司向新西兰媒体支付一定费用以获取本地新闻内容。</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6、强生证实退出罕见疾病生物技术公司Horizon收购案，其竞争对手安进和赛诺菲继而成为收购Horizon的潜在竞争者。</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7、三星电子宣布任命李永熙为其移动业务全球营销总裁，这是三星首次提拔女性担任这一高阶职位。</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8、消息称沙特王储穆罕默德·本·萨勒曼准备向瑞士信贷旗下的投资银行投资约5亿美元。</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商品</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国内商品期货夜盘收盘多数下跌，能源化工品表现疲软，原油跌4.8%，纯碱跌3.37%，PTA跌1.83%，甲醇跌1.59%，PVC跌1.51%，LPG跌1.4%。黑色系全线下跌，焦炭跌1.49%，铁矿石跌0.96%。农产品涨跌不一，棉纱涨1.05%，棕榈油跌2.3%。基本金属涨跌不一，沪锡涨1.91%，不锈钢涨1.15%，沪镍涨1.05%，沪铝跌0.16%，沪锌跌0.61%，沪铜跌0.72%。</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国内成品油价格今起下调，汽、柴油价格每吨分别降低440元和425元，创下半年以来最大跌幅。折升价，92号汽油下调0.35元，95号汽油下调0.37元，0号柴油下调0.36元。按一般家用汽车油箱50L容量估测，加满一箱92号汽油将少花17.5元。</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江西宜春多家锂盐企业近日先后宣布停产。消息人士透露，此次停产最大的可能是宜春所辖高安市的锦江水质近期出现严重金属污染（钽元素超标），而位于锦江上游的锂盐企业为配合环保调查，被一并要求临时停产。</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4、俄罗斯总统新闻秘书佩斯科夫称，对于西方对俄石油设置价格上限，俄方正在制定反制措施。印度石油部长表示，欧洲对俄罗斯原油实施价格上限对印度的影响为“零”。</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5、惠誉下调了2022-2023年欧洲TTF天然气价格和2022年美国Henry Hub天然气价格预期，反映了欧洲天然气需求的减少。其仍预计2023年将不会有俄罗斯天然气流入欧盟。油价方面，由于经济增长放缓，惠誉预计油价将持续温和。该机构继续预计欧佩克+将通过改变生产配额和现有原油供应来实现石油市场的广泛平衡。</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6、波罗的海干散货指数跌0.1%，报1323点。</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债券</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银行间主要利率债收益率普遍上行，3年期国开活跃券“21国开03”收益率上行3bp；国债期货小幅收跌；降准实施日银行间市场资金面充盈，隔夜回购利率续降至1.1%下方；地产债普遍大涨再现临停潮，“20旭辉02”涨超43%。</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中证转债指数收盘涨0.54%，成交额753.21亿元；万得可转债等权指数收盘涨0.41%，成交额760.44亿元。新天转债涨超9%，金诚转债涨超7%，惠城转债、北方转债和“18中化EB”均涨超5%；溢利转债跌超14%，江丰转债跌超4%。</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w:t>
      </w:r>
      <w:r>
        <w:rPr>
          <w:rFonts w:hint="eastAsia" w:ascii="仿宋" w:hAnsi="仿宋" w:eastAsia="仿宋" w:cs="仿宋"/>
          <w:sz w:val="24"/>
          <w:szCs w:val="28"/>
          <w:lang w:eastAsia="zh-CN"/>
        </w:rPr>
        <w:t>、</w:t>
      </w:r>
      <w:r>
        <w:rPr>
          <w:rFonts w:hint="eastAsia" w:ascii="仿宋" w:hAnsi="仿宋" w:eastAsia="仿宋" w:cs="仿宋"/>
          <w:sz w:val="24"/>
          <w:szCs w:val="28"/>
        </w:rPr>
        <w:t>“PR融创01”重组方案寻求再次调整；ST泰禾尚未形成全面债务重组解决方案；惠誉将国任保险相关评级列入负面评级观察名单；棕榈股份及相关人员收河南证监局警示函；川财证券因债券承销业务内控不完善收到警示函。</w:t>
      </w:r>
    </w:p>
    <w:p>
      <w:pPr>
        <w:spacing w:after="120" w:line="288" w:lineRule="auto"/>
        <w:rPr>
          <w:rFonts w:hint="eastAsia" w:ascii="仿宋" w:hAnsi="仿宋" w:eastAsia="仿宋" w:cs="仿宋"/>
          <w:sz w:val="24"/>
          <w:szCs w:val="28"/>
        </w:rPr>
      </w:pPr>
    </w:p>
    <w:p>
      <w:pPr>
        <w:numPr>
          <w:ilvl w:val="0"/>
          <w:numId w:val="3"/>
        </w:numPr>
        <w:spacing w:after="120" w:line="288"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外汇</w:t>
      </w: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1、外汇交易中心数据显示，12月2日，CFETS人民币汇率指数报97.39，按周涨0.14；BIS货币篮子人民币汇率指数报102.65，按周跌0.05；SDR货币篮子人民币汇率指数报95.25，按周涨0.33。</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2、中国人民银行与澳门金融管理局续签双边货币互换协议，协议规模为300亿元人民币/340亿澳门元，协议有效期三年，经双方同意可以展期。</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3、韩国11月外汇储备环比增加20.9亿美元，至4161亿美元，为时隔4个月首次增长，且为13个月来最大增幅。</w:t>
      </w:r>
    </w:p>
    <w:p>
      <w:pPr>
        <w:spacing w:after="120" w:line="288" w:lineRule="auto"/>
        <w:rPr>
          <w:rFonts w:hint="eastAsia" w:ascii="仿宋" w:hAnsi="仿宋" w:eastAsia="仿宋" w:cs="仿宋"/>
          <w:sz w:val="24"/>
          <w:szCs w:val="28"/>
        </w:rPr>
      </w:pPr>
    </w:p>
    <w:p>
      <w:pPr>
        <w:spacing w:after="120" w:line="288" w:lineRule="auto"/>
        <w:rPr>
          <w:rFonts w:hint="eastAsia" w:ascii="仿宋" w:hAnsi="仿宋" w:eastAsia="仿宋" w:cs="仿宋"/>
          <w:sz w:val="24"/>
          <w:szCs w:val="28"/>
        </w:rPr>
      </w:pPr>
      <w:r>
        <w:rPr>
          <w:rFonts w:hint="eastAsia" w:ascii="仿宋" w:hAnsi="仿宋" w:eastAsia="仿宋" w:cs="仿宋"/>
          <w:sz w:val="24"/>
          <w:szCs w:val="28"/>
        </w:rPr>
        <w:t>4、国际清算银行（BIS）报告显示，美国以外的机构通过外汇衍生品“隐藏”的表外债务预计高达65万亿美元。另外，每天估计有2.2万亿美元的外汇交易存在结算风险，即交易的其中一方未能履行合约。</w:t>
      </w:r>
    </w:p>
    <w:p>
      <w:pPr>
        <w:jc w:val="center"/>
      </w:pPr>
    </w:p>
    <w:p>
      <w:pPr>
        <w:jc w:val="center"/>
      </w:pPr>
    </w:p>
    <w:p>
      <w:pPr>
        <w:jc w:val="center"/>
      </w:pPr>
    </w:p>
    <w:p>
      <w:pPr>
        <w:jc w:val="center"/>
      </w:pPr>
    </w:p>
    <w:p>
      <w:pPr>
        <w:jc w:val="center"/>
        <w:rPr>
          <w:rFonts w:ascii="微软雅黑" w:hAnsi="微软雅黑" w:eastAsia="微软雅黑" w:cs="微软雅黑"/>
          <w:b/>
          <w:bCs/>
          <w:i w:val="0"/>
          <w:iCs w:val="0"/>
          <w:caps w:val="0"/>
          <w:color w:val="333333"/>
          <w:spacing w:val="0"/>
          <w:sz w:val="24"/>
          <w:szCs w:val="24"/>
          <w:shd w:val="clear" w:fill="FFFFFF"/>
        </w:rPr>
      </w:pPr>
    </w:p>
    <w:p>
      <w:pPr>
        <w:jc w:val="both"/>
        <w:rPr>
          <w:rFonts w:ascii="微软雅黑" w:hAnsi="微软雅黑" w:eastAsia="微软雅黑" w:cs="微软雅黑"/>
          <w:i w:val="0"/>
          <w:iCs w:val="0"/>
          <w:caps w:val="0"/>
          <w:color w:val="333333"/>
          <w:spacing w:val="0"/>
          <w:sz w:val="19"/>
          <w:szCs w:val="19"/>
          <w:shd w:val="clear" w:fill="FFFFFF"/>
        </w:rPr>
      </w:pPr>
      <w:bookmarkStart w:id="0" w:name="_GoBack"/>
      <w:bookmarkEnd w:id="0"/>
    </w:p>
    <w:p>
      <w:pPr>
        <w:jc w:val="center"/>
        <w:rPr>
          <w:rFonts w:ascii="微软雅黑" w:hAnsi="微软雅黑" w:eastAsia="微软雅黑" w:cs="微软雅黑"/>
          <w:i w:val="0"/>
          <w:iCs w:val="0"/>
          <w:caps w:val="0"/>
          <w:color w:val="333333"/>
          <w:spacing w:val="0"/>
          <w:sz w:val="19"/>
          <w:szCs w:val="19"/>
          <w:shd w:val="clear" w:fill="FFFFFF"/>
        </w:rPr>
      </w:pPr>
      <w:r>
        <w:rPr>
          <w:rFonts w:ascii="微软雅黑" w:hAnsi="微软雅黑" w:eastAsia="微软雅黑" w:cs="微软雅黑"/>
          <w:i w:val="0"/>
          <w:iCs w:val="0"/>
          <w:caps w:val="0"/>
          <w:color w:val="333333"/>
          <w:spacing w:val="0"/>
          <w:sz w:val="19"/>
          <w:szCs w:val="19"/>
          <w:shd w:val="clear" w:fill="FFFFFF"/>
        </w:rPr>
        <w:drawing>
          <wp:inline distT="0" distB="0" distL="114300" distR="114300">
            <wp:extent cx="4319905" cy="8398510"/>
            <wp:effectExtent l="0" t="0" r="8255" b="13970"/>
            <wp:docPr id="3" name="图片 1" descr="IMG_256"/>
            <wp:cNvGraphicFramePr/>
            <a:graphic xmlns:a="http://schemas.openxmlformats.org/drawingml/2006/main">
              <a:graphicData uri="http://schemas.openxmlformats.org/drawingml/2006/picture">
                <pic:pic xmlns:pic="http://schemas.openxmlformats.org/drawingml/2006/picture">
                  <pic:nvPicPr>
                    <pic:cNvPr id="3" name="图片 1" descr="IMG_256"/>
                    <pic:cNvPicPr/>
                  </pic:nvPicPr>
                  <pic:blipFill>
                    <a:blip r:embed="rId8"/>
                    <a:stretch>
                      <a:fillRect/>
                    </a:stretch>
                  </pic:blipFill>
                  <pic:spPr>
                    <a:xfrm>
                      <a:off x="0" y="0"/>
                      <a:ext cx="4319905" cy="8398510"/>
                    </a:xfrm>
                    <a:prstGeom prst="rect">
                      <a:avLst/>
                    </a:prstGeom>
                    <a:noFill/>
                    <a:ln w="9525">
                      <a:noFill/>
                    </a:ln>
                  </pic:spPr>
                </pic:pic>
              </a:graphicData>
            </a:graphic>
          </wp:inline>
        </w:drawing>
      </w:r>
    </w:p>
    <w:p>
      <w:pPr>
        <w:jc w:val="center"/>
        <w:rPr>
          <w:rFonts w:ascii="微软雅黑" w:hAnsi="微软雅黑" w:eastAsia="微软雅黑" w:cs="微软雅黑"/>
          <w:i w:val="0"/>
          <w:iCs w:val="0"/>
          <w:caps w:val="0"/>
          <w:color w:val="333333"/>
          <w:spacing w:val="0"/>
          <w:sz w:val="19"/>
          <w:szCs w:val="19"/>
          <w:shd w:val="clear" w:fill="FFFFFF"/>
        </w:rPr>
      </w:pPr>
    </w:p>
    <w:p>
      <w:pPr>
        <w:jc w:val="left"/>
      </w:pPr>
    </w:p>
    <w:p>
      <w:pPr>
        <w:jc w:val="left"/>
      </w:pPr>
    </w:p>
    <w:p>
      <w:pPr>
        <w:jc w:val="left"/>
      </w:pP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hint="eastAsia" w:ascii="微软雅黑" w:hAnsi="微软雅黑" w:eastAsia="微软雅黑" w:cs="Calibri"/>
          <w:b/>
          <w:iCs/>
          <w:color w:val="1F497D"/>
          <w:sz w:val="22"/>
          <w:szCs w:val="24"/>
        </w:rPr>
        <w:t>分析师：</w:t>
      </w:r>
    </w:p>
    <w:p>
      <w:pPr>
        <w:spacing w:after="120" w:line="288" w:lineRule="auto"/>
        <w:jc w:val="left"/>
        <w:rPr>
          <w:rFonts w:ascii="微软雅黑" w:hAnsi="微软雅黑" w:eastAsia="微软雅黑" w:cs="Calibri"/>
          <w:b/>
          <w:iCs/>
          <w:color w:val="1F497D"/>
          <w:sz w:val="22"/>
          <w:szCs w:val="24"/>
        </w:rPr>
      </w:pPr>
      <w:r>
        <w:rPr>
          <w:rFonts w:hint="eastAsia" w:ascii="微软雅黑" w:hAnsi="微软雅黑" w:eastAsia="微软雅黑" w:cs="Calibri"/>
          <w:b/>
          <w:iCs/>
          <w:color w:val="1F497D"/>
          <w:sz w:val="22"/>
          <w:szCs w:val="24"/>
        </w:rPr>
        <w:t>王静，执业资格证号F0235424/Z0000771。</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r>
        <w:rPr>
          <w:rFonts w:hint="eastAsia"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5" w:type="default"/>
      <w:footerReference r:id="rId6" w:type="default"/>
      <w:pgSz w:w="11906" w:h="16838"/>
      <w:pgMar w:top="1440" w:right="1800" w:bottom="1440" w:left="1800" w:header="851" w:footer="22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4F81BD"/>
                                  </a:gs>
                                  <a:gs pos="100000">
                                    <a:srgbClr val="FFFFFF"/>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JUS963ZAAAACAEAAA8AAAAAAAAAAQAgAAAAIgAAAGRy&#10;cy9kb3ducmV2LnhtbFBLAQIUABQAAAAIAIdO4kDiichY6AIAACQHAAAOAAAAAAAAAAEAIAAAACgB&#10;AABkcnMvZTJvRG9jLnhtbFBLBQYAAAAABgAGAFkBAACCBgAAAAA=&#10;">
                    <o:lock v:ext="edit" aspectratio="f"/>
                    <v:rect id="_x0000_s1026" o:spid="_x0000_s1026" o:spt="1" style="position:absolute;left:150;top:525;height:143;width:4365;" fillcolor="#4F81BD" filled="t" stroked="f" coordsize="21600,21600" o:gfxdata="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uqmfLsAAADa&#10;AAAADwAAAAAAAAABACAAAAAiAAAAZHJzL2Rvd25yZXYueG1sUEsBAhQAFAAAAAgAh07iQDMvBZ47&#10;AAAAOQAAABAAAAAAAAAAAQAgAAAACgEAAGRycy9zaGFwZXhtbC54bWxQSwUGAAAAAAYABgBbAQAA&#10;tAMAAAAA&#10;">
                      <v:fill type="gradient" on="t" color2="#FFFFFF" angle="90" focus="100%" focussize="0,0"/>
                      <v:stroke on="f"/>
                      <v:imagedata o:title=""/>
                      <o:lock v:ext="edit" aspectratio="f"/>
                    </v:rect>
                    <v:rect id="_x0000_s1026" o:spid="_x0000_s1026" o:spt="1" style="position:absolute;left:0;top:0;height:623;width:4290;" fillcolor="#FFFFFF" filled="t" stroked="f" coordsize="21600,21600" o:gfxdata="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B+V7sAAADa&#10;AAAADwAAAAAAAAABACAAAAAiAAAAZHJzL2Rvd25yZXYueG1sUEsBAhQAFAAAAAgAh07iQDMvBZ47&#10;AAAAOQAAABAAAAAAAAAAAQAgAAAACgEAAGRycy9zaGFwZXhtbC54bWxQSwUGAAAAAAYABgBbAQAA&#10;tAM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A2DFB"/>
    <w:multiLevelType w:val="singleLevel"/>
    <w:tmpl w:val="A47A2DFB"/>
    <w:lvl w:ilvl="0" w:tentative="0">
      <w:start w:val="1"/>
      <w:numFmt w:val="bullet"/>
      <w:lvlText w:val=""/>
      <w:lvlJc w:val="left"/>
      <w:pPr>
        <w:ind w:left="420" w:hanging="420"/>
      </w:pPr>
      <w:rPr>
        <w:rFonts w:hint="default" w:ascii="Wingdings" w:hAnsi="Wingdings"/>
      </w:rPr>
    </w:lvl>
  </w:abstractNum>
  <w:abstractNum w:abstractNumId="1">
    <w:nsid w:val="01FC3DDC"/>
    <w:multiLevelType w:val="multilevel"/>
    <w:tmpl w:val="01FC3D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962344"/>
    <w:multiLevelType w:val="multilevel"/>
    <w:tmpl w:val="219623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MDM3OTBmNWUwYzM4NzgzNDQ3NjE4NTkwMDYxODIifQ=="/>
  </w:docVars>
  <w:rsids>
    <w:rsidRoot w:val="000C7141"/>
    <w:rsid w:val="00000DDF"/>
    <w:rsid w:val="00006E67"/>
    <w:rsid w:val="00013806"/>
    <w:rsid w:val="00014696"/>
    <w:rsid w:val="00017847"/>
    <w:rsid w:val="0002244E"/>
    <w:rsid w:val="00034E03"/>
    <w:rsid w:val="00042117"/>
    <w:rsid w:val="00051013"/>
    <w:rsid w:val="00052E0A"/>
    <w:rsid w:val="00055EF0"/>
    <w:rsid w:val="000567E7"/>
    <w:rsid w:val="00057B53"/>
    <w:rsid w:val="00063698"/>
    <w:rsid w:val="0006595F"/>
    <w:rsid w:val="000703EE"/>
    <w:rsid w:val="00070FCB"/>
    <w:rsid w:val="000848AF"/>
    <w:rsid w:val="00092278"/>
    <w:rsid w:val="0009717F"/>
    <w:rsid w:val="000A0217"/>
    <w:rsid w:val="000A0875"/>
    <w:rsid w:val="000A4FFC"/>
    <w:rsid w:val="000A6113"/>
    <w:rsid w:val="000B541C"/>
    <w:rsid w:val="000B6043"/>
    <w:rsid w:val="000C7141"/>
    <w:rsid w:val="000D058D"/>
    <w:rsid w:val="000E05BB"/>
    <w:rsid w:val="000E23AD"/>
    <w:rsid w:val="000F0446"/>
    <w:rsid w:val="000F0E26"/>
    <w:rsid w:val="000F4758"/>
    <w:rsid w:val="000F76E5"/>
    <w:rsid w:val="001013A1"/>
    <w:rsid w:val="001032F5"/>
    <w:rsid w:val="00104731"/>
    <w:rsid w:val="00112307"/>
    <w:rsid w:val="00114101"/>
    <w:rsid w:val="00114990"/>
    <w:rsid w:val="001158E5"/>
    <w:rsid w:val="0012027E"/>
    <w:rsid w:val="00123054"/>
    <w:rsid w:val="00130EE4"/>
    <w:rsid w:val="0013565B"/>
    <w:rsid w:val="00141680"/>
    <w:rsid w:val="00142D14"/>
    <w:rsid w:val="00145AF4"/>
    <w:rsid w:val="00147412"/>
    <w:rsid w:val="00151EDD"/>
    <w:rsid w:val="0015212E"/>
    <w:rsid w:val="00153A09"/>
    <w:rsid w:val="00163C55"/>
    <w:rsid w:val="00167020"/>
    <w:rsid w:val="00167698"/>
    <w:rsid w:val="00171713"/>
    <w:rsid w:val="00172B87"/>
    <w:rsid w:val="0017418E"/>
    <w:rsid w:val="0018082E"/>
    <w:rsid w:val="001811AE"/>
    <w:rsid w:val="001A3E59"/>
    <w:rsid w:val="001A5BE8"/>
    <w:rsid w:val="001B5B5C"/>
    <w:rsid w:val="001C1DBB"/>
    <w:rsid w:val="001C4201"/>
    <w:rsid w:val="001D095D"/>
    <w:rsid w:val="001D49EF"/>
    <w:rsid w:val="001D4A06"/>
    <w:rsid w:val="001E3D55"/>
    <w:rsid w:val="001E593A"/>
    <w:rsid w:val="001E6944"/>
    <w:rsid w:val="001F3A5E"/>
    <w:rsid w:val="001F3BBD"/>
    <w:rsid w:val="001F590A"/>
    <w:rsid w:val="001F5AFE"/>
    <w:rsid w:val="001F620F"/>
    <w:rsid w:val="00200A79"/>
    <w:rsid w:val="00201975"/>
    <w:rsid w:val="00207407"/>
    <w:rsid w:val="002154B8"/>
    <w:rsid w:val="002160C8"/>
    <w:rsid w:val="0022644D"/>
    <w:rsid w:val="002317DC"/>
    <w:rsid w:val="0023373A"/>
    <w:rsid w:val="00241E08"/>
    <w:rsid w:val="00245F97"/>
    <w:rsid w:val="002467AA"/>
    <w:rsid w:val="002511CD"/>
    <w:rsid w:val="00253243"/>
    <w:rsid w:val="00260FB4"/>
    <w:rsid w:val="00262D13"/>
    <w:rsid w:val="00263088"/>
    <w:rsid w:val="00263AC8"/>
    <w:rsid w:val="002659E4"/>
    <w:rsid w:val="0027188E"/>
    <w:rsid w:val="00281168"/>
    <w:rsid w:val="00283505"/>
    <w:rsid w:val="00294E79"/>
    <w:rsid w:val="002956BA"/>
    <w:rsid w:val="0029649A"/>
    <w:rsid w:val="002973B6"/>
    <w:rsid w:val="00297562"/>
    <w:rsid w:val="00297D26"/>
    <w:rsid w:val="002A06E0"/>
    <w:rsid w:val="002A1D69"/>
    <w:rsid w:val="002A1EEA"/>
    <w:rsid w:val="002B027F"/>
    <w:rsid w:val="002B283A"/>
    <w:rsid w:val="002B5A61"/>
    <w:rsid w:val="002C7491"/>
    <w:rsid w:val="002C7B52"/>
    <w:rsid w:val="002D22BB"/>
    <w:rsid w:val="002D74C0"/>
    <w:rsid w:val="002E1B79"/>
    <w:rsid w:val="002E4996"/>
    <w:rsid w:val="002E7104"/>
    <w:rsid w:val="002F06B8"/>
    <w:rsid w:val="002F0783"/>
    <w:rsid w:val="002F26E4"/>
    <w:rsid w:val="002F2BE4"/>
    <w:rsid w:val="002F31AF"/>
    <w:rsid w:val="002F3FE5"/>
    <w:rsid w:val="002F4297"/>
    <w:rsid w:val="00300E7C"/>
    <w:rsid w:val="00305368"/>
    <w:rsid w:val="003113DE"/>
    <w:rsid w:val="00312FFF"/>
    <w:rsid w:val="0031351F"/>
    <w:rsid w:val="00313679"/>
    <w:rsid w:val="0031453F"/>
    <w:rsid w:val="003170A3"/>
    <w:rsid w:val="003172CE"/>
    <w:rsid w:val="00321FAA"/>
    <w:rsid w:val="00330567"/>
    <w:rsid w:val="003319E3"/>
    <w:rsid w:val="00335306"/>
    <w:rsid w:val="00342C54"/>
    <w:rsid w:val="00345932"/>
    <w:rsid w:val="0034695F"/>
    <w:rsid w:val="00351347"/>
    <w:rsid w:val="00351EEB"/>
    <w:rsid w:val="0035361F"/>
    <w:rsid w:val="00355DD3"/>
    <w:rsid w:val="00365D33"/>
    <w:rsid w:val="00366F3D"/>
    <w:rsid w:val="00370B14"/>
    <w:rsid w:val="003761A6"/>
    <w:rsid w:val="00390207"/>
    <w:rsid w:val="003A45DE"/>
    <w:rsid w:val="003A50FC"/>
    <w:rsid w:val="003A7A78"/>
    <w:rsid w:val="003B0A43"/>
    <w:rsid w:val="003C4750"/>
    <w:rsid w:val="003C636B"/>
    <w:rsid w:val="003D209E"/>
    <w:rsid w:val="003D444C"/>
    <w:rsid w:val="003D51AA"/>
    <w:rsid w:val="003F3DF8"/>
    <w:rsid w:val="003F4407"/>
    <w:rsid w:val="003F4656"/>
    <w:rsid w:val="003F679C"/>
    <w:rsid w:val="003F7882"/>
    <w:rsid w:val="0040249A"/>
    <w:rsid w:val="00402578"/>
    <w:rsid w:val="00406D00"/>
    <w:rsid w:val="00416A00"/>
    <w:rsid w:val="00416C43"/>
    <w:rsid w:val="00431303"/>
    <w:rsid w:val="004401FC"/>
    <w:rsid w:val="00441DB9"/>
    <w:rsid w:val="00443B41"/>
    <w:rsid w:val="00455AED"/>
    <w:rsid w:val="00462957"/>
    <w:rsid w:val="00463802"/>
    <w:rsid w:val="00467425"/>
    <w:rsid w:val="004709E9"/>
    <w:rsid w:val="0047183D"/>
    <w:rsid w:val="004773BA"/>
    <w:rsid w:val="0048045B"/>
    <w:rsid w:val="004818C4"/>
    <w:rsid w:val="00490F75"/>
    <w:rsid w:val="00491EEF"/>
    <w:rsid w:val="004941A3"/>
    <w:rsid w:val="0049595B"/>
    <w:rsid w:val="00496EFC"/>
    <w:rsid w:val="004A115E"/>
    <w:rsid w:val="004B27C9"/>
    <w:rsid w:val="004B49CA"/>
    <w:rsid w:val="004C0BED"/>
    <w:rsid w:val="004C0CCF"/>
    <w:rsid w:val="004C36D1"/>
    <w:rsid w:val="004C53F3"/>
    <w:rsid w:val="004D5B44"/>
    <w:rsid w:val="004E675A"/>
    <w:rsid w:val="004F372B"/>
    <w:rsid w:val="004F5691"/>
    <w:rsid w:val="004F669D"/>
    <w:rsid w:val="004F67FE"/>
    <w:rsid w:val="005045E7"/>
    <w:rsid w:val="005165A5"/>
    <w:rsid w:val="00517664"/>
    <w:rsid w:val="00522EB9"/>
    <w:rsid w:val="00524F15"/>
    <w:rsid w:val="00525BEA"/>
    <w:rsid w:val="00533639"/>
    <w:rsid w:val="0053388F"/>
    <w:rsid w:val="0054060A"/>
    <w:rsid w:val="00542E89"/>
    <w:rsid w:val="00547E85"/>
    <w:rsid w:val="00552936"/>
    <w:rsid w:val="00556046"/>
    <w:rsid w:val="005666C6"/>
    <w:rsid w:val="005666FD"/>
    <w:rsid w:val="00567C12"/>
    <w:rsid w:val="0057317E"/>
    <w:rsid w:val="005807AD"/>
    <w:rsid w:val="005816A4"/>
    <w:rsid w:val="005836BF"/>
    <w:rsid w:val="0058484F"/>
    <w:rsid w:val="00585CAC"/>
    <w:rsid w:val="00586515"/>
    <w:rsid w:val="00590492"/>
    <w:rsid w:val="0059235C"/>
    <w:rsid w:val="00594351"/>
    <w:rsid w:val="005A1B7D"/>
    <w:rsid w:val="005A2257"/>
    <w:rsid w:val="005A2D76"/>
    <w:rsid w:val="005B20AA"/>
    <w:rsid w:val="005B2E11"/>
    <w:rsid w:val="005C3443"/>
    <w:rsid w:val="005C4CBF"/>
    <w:rsid w:val="005C7B8B"/>
    <w:rsid w:val="005D1D39"/>
    <w:rsid w:val="005D55F3"/>
    <w:rsid w:val="005D568D"/>
    <w:rsid w:val="005D78DF"/>
    <w:rsid w:val="005E01CD"/>
    <w:rsid w:val="005E2316"/>
    <w:rsid w:val="005F04CF"/>
    <w:rsid w:val="005F096A"/>
    <w:rsid w:val="0060621A"/>
    <w:rsid w:val="0061677F"/>
    <w:rsid w:val="00622983"/>
    <w:rsid w:val="006250FF"/>
    <w:rsid w:val="00626A39"/>
    <w:rsid w:val="0063015A"/>
    <w:rsid w:val="006333D7"/>
    <w:rsid w:val="0063372F"/>
    <w:rsid w:val="00633C0D"/>
    <w:rsid w:val="00642D4B"/>
    <w:rsid w:val="0064324E"/>
    <w:rsid w:val="00643655"/>
    <w:rsid w:val="006510F7"/>
    <w:rsid w:val="00652551"/>
    <w:rsid w:val="0065330E"/>
    <w:rsid w:val="00661214"/>
    <w:rsid w:val="006632AD"/>
    <w:rsid w:val="006651AA"/>
    <w:rsid w:val="00666B46"/>
    <w:rsid w:val="00672708"/>
    <w:rsid w:val="006733E0"/>
    <w:rsid w:val="00676BC1"/>
    <w:rsid w:val="00681382"/>
    <w:rsid w:val="006847E9"/>
    <w:rsid w:val="0069347A"/>
    <w:rsid w:val="00696516"/>
    <w:rsid w:val="00697C7A"/>
    <w:rsid w:val="006A1237"/>
    <w:rsid w:val="006A3876"/>
    <w:rsid w:val="006B0ABE"/>
    <w:rsid w:val="006B126F"/>
    <w:rsid w:val="006B3B2A"/>
    <w:rsid w:val="006B4900"/>
    <w:rsid w:val="006B643E"/>
    <w:rsid w:val="006B6521"/>
    <w:rsid w:val="006B6DC6"/>
    <w:rsid w:val="006C01DA"/>
    <w:rsid w:val="006C4BB3"/>
    <w:rsid w:val="006C4FD4"/>
    <w:rsid w:val="006C5E0C"/>
    <w:rsid w:val="006C6BA1"/>
    <w:rsid w:val="006C7831"/>
    <w:rsid w:val="006D0243"/>
    <w:rsid w:val="006D56D5"/>
    <w:rsid w:val="006D6092"/>
    <w:rsid w:val="006D7ACE"/>
    <w:rsid w:val="006E0C32"/>
    <w:rsid w:val="006E3949"/>
    <w:rsid w:val="006F01BA"/>
    <w:rsid w:val="006F2B61"/>
    <w:rsid w:val="006F64CA"/>
    <w:rsid w:val="007029F6"/>
    <w:rsid w:val="00703FF8"/>
    <w:rsid w:val="00704B4D"/>
    <w:rsid w:val="00705D1F"/>
    <w:rsid w:val="00710278"/>
    <w:rsid w:val="00710EA1"/>
    <w:rsid w:val="00712BF9"/>
    <w:rsid w:val="0071414D"/>
    <w:rsid w:val="007340DC"/>
    <w:rsid w:val="00735A17"/>
    <w:rsid w:val="007373EE"/>
    <w:rsid w:val="00741B5C"/>
    <w:rsid w:val="007514CA"/>
    <w:rsid w:val="0075189B"/>
    <w:rsid w:val="00760B8E"/>
    <w:rsid w:val="00766F88"/>
    <w:rsid w:val="00776967"/>
    <w:rsid w:val="0078584B"/>
    <w:rsid w:val="007876FA"/>
    <w:rsid w:val="00796B86"/>
    <w:rsid w:val="007B66E7"/>
    <w:rsid w:val="007D2CB5"/>
    <w:rsid w:val="007D6C46"/>
    <w:rsid w:val="007E067C"/>
    <w:rsid w:val="007E4180"/>
    <w:rsid w:val="007E424E"/>
    <w:rsid w:val="007F13E9"/>
    <w:rsid w:val="007F21C2"/>
    <w:rsid w:val="007F4D36"/>
    <w:rsid w:val="007F7D1A"/>
    <w:rsid w:val="008008B9"/>
    <w:rsid w:val="00802DB2"/>
    <w:rsid w:val="00803413"/>
    <w:rsid w:val="00810DA6"/>
    <w:rsid w:val="008127B2"/>
    <w:rsid w:val="00813E56"/>
    <w:rsid w:val="0082485B"/>
    <w:rsid w:val="00825058"/>
    <w:rsid w:val="008262BD"/>
    <w:rsid w:val="00835F38"/>
    <w:rsid w:val="00837B0B"/>
    <w:rsid w:val="00837C0E"/>
    <w:rsid w:val="00841465"/>
    <w:rsid w:val="008446C0"/>
    <w:rsid w:val="00845FC6"/>
    <w:rsid w:val="00850ACA"/>
    <w:rsid w:val="008565D2"/>
    <w:rsid w:val="00864079"/>
    <w:rsid w:val="00866A15"/>
    <w:rsid w:val="008737EC"/>
    <w:rsid w:val="0088182F"/>
    <w:rsid w:val="00882ACF"/>
    <w:rsid w:val="00887EC2"/>
    <w:rsid w:val="0089089E"/>
    <w:rsid w:val="008944C3"/>
    <w:rsid w:val="008967F3"/>
    <w:rsid w:val="008A231D"/>
    <w:rsid w:val="008A3D25"/>
    <w:rsid w:val="008C0A3D"/>
    <w:rsid w:val="008C2B73"/>
    <w:rsid w:val="008C59FB"/>
    <w:rsid w:val="008C5B4F"/>
    <w:rsid w:val="008C6C86"/>
    <w:rsid w:val="008C7732"/>
    <w:rsid w:val="008D02C9"/>
    <w:rsid w:val="008D546F"/>
    <w:rsid w:val="008D5BCF"/>
    <w:rsid w:val="008E0DA8"/>
    <w:rsid w:val="008E35D1"/>
    <w:rsid w:val="008F5564"/>
    <w:rsid w:val="00901893"/>
    <w:rsid w:val="00904A9B"/>
    <w:rsid w:val="00906CD4"/>
    <w:rsid w:val="00913135"/>
    <w:rsid w:val="009136CA"/>
    <w:rsid w:val="00915A5D"/>
    <w:rsid w:val="00915AE0"/>
    <w:rsid w:val="00923CE4"/>
    <w:rsid w:val="009242C3"/>
    <w:rsid w:val="00926EEB"/>
    <w:rsid w:val="00935A79"/>
    <w:rsid w:val="00941493"/>
    <w:rsid w:val="00941F80"/>
    <w:rsid w:val="00952808"/>
    <w:rsid w:val="00953CDF"/>
    <w:rsid w:val="00956E92"/>
    <w:rsid w:val="00966742"/>
    <w:rsid w:val="00975438"/>
    <w:rsid w:val="00977616"/>
    <w:rsid w:val="00977ED7"/>
    <w:rsid w:val="009815FA"/>
    <w:rsid w:val="00983E19"/>
    <w:rsid w:val="00986AE7"/>
    <w:rsid w:val="00990849"/>
    <w:rsid w:val="00990998"/>
    <w:rsid w:val="00996E54"/>
    <w:rsid w:val="009970BA"/>
    <w:rsid w:val="009A58DB"/>
    <w:rsid w:val="009A61D2"/>
    <w:rsid w:val="009B72B1"/>
    <w:rsid w:val="009C03EC"/>
    <w:rsid w:val="009C10F0"/>
    <w:rsid w:val="009D1693"/>
    <w:rsid w:val="009F2D70"/>
    <w:rsid w:val="009F335C"/>
    <w:rsid w:val="009F51FC"/>
    <w:rsid w:val="009F7825"/>
    <w:rsid w:val="00A05CD6"/>
    <w:rsid w:val="00A07026"/>
    <w:rsid w:val="00A13988"/>
    <w:rsid w:val="00A27A58"/>
    <w:rsid w:val="00A33BA1"/>
    <w:rsid w:val="00A37056"/>
    <w:rsid w:val="00A4260E"/>
    <w:rsid w:val="00A43836"/>
    <w:rsid w:val="00A54B69"/>
    <w:rsid w:val="00A55C95"/>
    <w:rsid w:val="00A6273A"/>
    <w:rsid w:val="00A65769"/>
    <w:rsid w:val="00A7140F"/>
    <w:rsid w:val="00A738E1"/>
    <w:rsid w:val="00A754D0"/>
    <w:rsid w:val="00A75D77"/>
    <w:rsid w:val="00A763FB"/>
    <w:rsid w:val="00A83331"/>
    <w:rsid w:val="00A8742B"/>
    <w:rsid w:val="00A92AC8"/>
    <w:rsid w:val="00A96240"/>
    <w:rsid w:val="00AA3962"/>
    <w:rsid w:val="00AB4D43"/>
    <w:rsid w:val="00AB782C"/>
    <w:rsid w:val="00AC0590"/>
    <w:rsid w:val="00AC2178"/>
    <w:rsid w:val="00AC6A64"/>
    <w:rsid w:val="00AC74A7"/>
    <w:rsid w:val="00AD13CB"/>
    <w:rsid w:val="00AD3EB3"/>
    <w:rsid w:val="00AE0254"/>
    <w:rsid w:val="00AE17AE"/>
    <w:rsid w:val="00AE2078"/>
    <w:rsid w:val="00AE473F"/>
    <w:rsid w:val="00AE52FF"/>
    <w:rsid w:val="00AF1206"/>
    <w:rsid w:val="00B073BE"/>
    <w:rsid w:val="00B10A87"/>
    <w:rsid w:val="00B12C04"/>
    <w:rsid w:val="00B139D0"/>
    <w:rsid w:val="00B17E7B"/>
    <w:rsid w:val="00B2368A"/>
    <w:rsid w:val="00B34BB2"/>
    <w:rsid w:val="00B3605C"/>
    <w:rsid w:val="00B4432C"/>
    <w:rsid w:val="00B444EF"/>
    <w:rsid w:val="00B44A87"/>
    <w:rsid w:val="00B46CCC"/>
    <w:rsid w:val="00B545D0"/>
    <w:rsid w:val="00B60C4A"/>
    <w:rsid w:val="00B6400B"/>
    <w:rsid w:val="00B67A50"/>
    <w:rsid w:val="00B758FA"/>
    <w:rsid w:val="00B76979"/>
    <w:rsid w:val="00B81C13"/>
    <w:rsid w:val="00B90DFF"/>
    <w:rsid w:val="00B934FA"/>
    <w:rsid w:val="00B966F7"/>
    <w:rsid w:val="00BA4C13"/>
    <w:rsid w:val="00BA538B"/>
    <w:rsid w:val="00BA642B"/>
    <w:rsid w:val="00BA7004"/>
    <w:rsid w:val="00BB00D8"/>
    <w:rsid w:val="00BB2D9F"/>
    <w:rsid w:val="00BB530E"/>
    <w:rsid w:val="00BB56AD"/>
    <w:rsid w:val="00BC17C1"/>
    <w:rsid w:val="00BC5EDA"/>
    <w:rsid w:val="00BD5FBA"/>
    <w:rsid w:val="00BE5DCE"/>
    <w:rsid w:val="00BE706C"/>
    <w:rsid w:val="00C10F72"/>
    <w:rsid w:val="00C1660C"/>
    <w:rsid w:val="00C20DAA"/>
    <w:rsid w:val="00C2706E"/>
    <w:rsid w:val="00C2768A"/>
    <w:rsid w:val="00C40555"/>
    <w:rsid w:val="00C41457"/>
    <w:rsid w:val="00C42E70"/>
    <w:rsid w:val="00C43713"/>
    <w:rsid w:val="00C47366"/>
    <w:rsid w:val="00C47DE9"/>
    <w:rsid w:val="00C50C47"/>
    <w:rsid w:val="00C525D5"/>
    <w:rsid w:val="00C57016"/>
    <w:rsid w:val="00C63358"/>
    <w:rsid w:val="00C76B61"/>
    <w:rsid w:val="00C770F7"/>
    <w:rsid w:val="00C82E16"/>
    <w:rsid w:val="00C92AA6"/>
    <w:rsid w:val="00CA2450"/>
    <w:rsid w:val="00CA3758"/>
    <w:rsid w:val="00CB2002"/>
    <w:rsid w:val="00CB4E4C"/>
    <w:rsid w:val="00CB58B7"/>
    <w:rsid w:val="00CC3AF3"/>
    <w:rsid w:val="00CC59B6"/>
    <w:rsid w:val="00CC6ECC"/>
    <w:rsid w:val="00CD1A6B"/>
    <w:rsid w:val="00CD25DF"/>
    <w:rsid w:val="00CD3414"/>
    <w:rsid w:val="00CE29AE"/>
    <w:rsid w:val="00CE29EE"/>
    <w:rsid w:val="00CE59AD"/>
    <w:rsid w:val="00CF270D"/>
    <w:rsid w:val="00CF52CA"/>
    <w:rsid w:val="00CF572D"/>
    <w:rsid w:val="00CF6F7B"/>
    <w:rsid w:val="00D04570"/>
    <w:rsid w:val="00D10CF3"/>
    <w:rsid w:val="00D11C45"/>
    <w:rsid w:val="00D12904"/>
    <w:rsid w:val="00D1539E"/>
    <w:rsid w:val="00D21B92"/>
    <w:rsid w:val="00D22CB9"/>
    <w:rsid w:val="00D26094"/>
    <w:rsid w:val="00D32BFB"/>
    <w:rsid w:val="00D32E2D"/>
    <w:rsid w:val="00D429BE"/>
    <w:rsid w:val="00D43D13"/>
    <w:rsid w:val="00D55288"/>
    <w:rsid w:val="00D56417"/>
    <w:rsid w:val="00D57870"/>
    <w:rsid w:val="00D65F7A"/>
    <w:rsid w:val="00D6657C"/>
    <w:rsid w:val="00D7183E"/>
    <w:rsid w:val="00D84424"/>
    <w:rsid w:val="00D8482F"/>
    <w:rsid w:val="00D93CC8"/>
    <w:rsid w:val="00DA00D1"/>
    <w:rsid w:val="00DB1685"/>
    <w:rsid w:val="00DB35C7"/>
    <w:rsid w:val="00DB56FA"/>
    <w:rsid w:val="00DB7C27"/>
    <w:rsid w:val="00DC18D2"/>
    <w:rsid w:val="00DC4AD3"/>
    <w:rsid w:val="00DD2CFF"/>
    <w:rsid w:val="00DE1532"/>
    <w:rsid w:val="00DE61C8"/>
    <w:rsid w:val="00DE72DD"/>
    <w:rsid w:val="00DF5812"/>
    <w:rsid w:val="00E01368"/>
    <w:rsid w:val="00E01671"/>
    <w:rsid w:val="00E05801"/>
    <w:rsid w:val="00E07C1D"/>
    <w:rsid w:val="00E13B21"/>
    <w:rsid w:val="00E278AA"/>
    <w:rsid w:val="00E3020F"/>
    <w:rsid w:val="00E307DA"/>
    <w:rsid w:val="00E4638A"/>
    <w:rsid w:val="00E50697"/>
    <w:rsid w:val="00E6184E"/>
    <w:rsid w:val="00E6264C"/>
    <w:rsid w:val="00E6268B"/>
    <w:rsid w:val="00E66A31"/>
    <w:rsid w:val="00E67B75"/>
    <w:rsid w:val="00E67E30"/>
    <w:rsid w:val="00E73282"/>
    <w:rsid w:val="00E7357B"/>
    <w:rsid w:val="00E74AED"/>
    <w:rsid w:val="00E77ED5"/>
    <w:rsid w:val="00E80222"/>
    <w:rsid w:val="00E81D16"/>
    <w:rsid w:val="00E83AE7"/>
    <w:rsid w:val="00E8588C"/>
    <w:rsid w:val="00E931ED"/>
    <w:rsid w:val="00E94100"/>
    <w:rsid w:val="00EA3610"/>
    <w:rsid w:val="00EA4EB2"/>
    <w:rsid w:val="00EB1C8B"/>
    <w:rsid w:val="00EC55A4"/>
    <w:rsid w:val="00EC786A"/>
    <w:rsid w:val="00ED1276"/>
    <w:rsid w:val="00ED2595"/>
    <w:rsid w:val="00ED427C"/>
    <w:rsid w:val="00EF4D2D"/>
    <w:rsid w:val="00EF673E"/>
    <w:rsid w:val="00F05221"/>
    <w:rsid w:val="00F07367"/>
    <w:rsid w:val="00F0744E"/>
    <w:rsid w:val="00F14E85"/>
    <w:rsid w:val="00F20738"/>
    <w:rsid w:val="00F24F91"/>
    <w:rsid w:val="00F32352"/>
    <w:rsid w:val="00F37F54"/>
    <w:rsid w:val="00F409A9"/>
    <w:rsid w:val="00F41B86"/>
    <w:rsid w:val="00F423C0"/>
    <w:rsid w:val="00F47E07"/>
    <w:rsid w:val="00F50629"/>
    <w:rsid w:val="00F55807"/>
    <w:rsid w:val="00F558C4"/>
    <w:rsid w:val="00F67F58"/>
    <w:rsid w:val="00F72E8E"/>
    <w:rsid w:val="00F8354C"/>
    <w:rsid w:val="00F85659"/>
    <w:rsid w:val="00F86897"/>
    <w:rsid w:val="00F875B5"/>
    <w:rsid w:val="00F913CC"/>
    <w:rsid w:val="00F922DC"/>
    <w:rsid w:val="00F92AFB"/>
    <w:rsid w:val="00F942B8"/>
    <w:rsid w:val="00F948F9"/>
    <w:rsid w:val="00FA1A37"/>
    <w:rsid w:val="00FA73FA"/>
    <w:rsid w:val="00FB07A7"/>
    <w:rsid w:val="00FB40FA"/>
    <w:rsid w:val="00FB5C04"/>
    <w:rsid w:val="00FB7F3D"/>
    <w:rsid w:val="00FC2CE4"/>
    <w:rsid w:val="00FC6581"/>
    <w:rsid w:val="00FD0C55"/>
    <w:rsid w:val="00FD4A9C"/>
    <w:rsid w:val="00FD7397"/>
    <w:rsid w:val="00FE056F"/>
    <w:rsid w:val="00FE0AD7"/>
    <w:rsid w:val="00FE1225"/>
    <w:rsid w:val="00FE7D7E"/>
    <w:rsid w:val="00FF6E27"/>
    <w:rsid w:val="0B3F74C5"/>
    <w:rsid w:val="19BC001A"/>
    <w:rsid w:val="1B373F76"/>
    <w:rsid w:val="1D235D4F"/>
    <w:rsid w:val="23912A51"/>
    <w:rsid w:val="2FFB4271"/>
    <w:rsid w:val="33270FB7"/>
    <w:rsid w:val="36FE43D6"/>
    <w:rsid w:val="390D46A2"/>
    <w:rsid w:val="39375B6E"/>
    <w:rsid w:val="3A8F2271"/>
    <w:rsid w:val="411C6D61"/>
    <w:rsid w:val="43905842"/>
    <w:rsid w:val="44453DDE"/>
    <w:rsid w:val="45CD4445"/>
    <w:rsid w:val="50BD1399"/>
    <w:rsid w:val="547A11B4"/>
    <w:rsid w:val="56E43BC7"/>
    <w:rsid w:val="5BF30290"/>
    <w:rsid w:val="60B73D39"/>
    <w:rsid w:val="651702F9"/>
    <w:rsid w:val="662B301D"/>
    <w:rsid w:val="67B25B07"/>
    <w:rsid w:val="6EF42AB9"/>
    <w:rsid w:val="72522E7D"/>
    <w:rsid w:val="745F7AD1"/>
    <w:rsid w:val="78060FF0"/>
    <w:rsid w:val="7BEB5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30"/>
    <w:qFormat/>
    <w:uiPriority w:val="9"/>
    <w:pPr>
      <w:spacing w:before="300" w:after="40"/>
      <w:jc w:val="left"/>
      <w:outlineLvl w:val="0"/>
    </w:pPr>
    <w:rPr>
      <w:smallCaps/>
      <w:spacing w:val="5"/>
      <w:sz w:val="32"/>
      <w:szCs w:val="32"/>
    </w:rPr>
  </w:style>
  <w:style w:type="paragraph" w:styleId="3">
    <w:name w:val="heading 2"/>
    <w:basedOn w:val="1"/>
    <w:next w:val="1"/>
    <w:link w:val="31"/>
    <w:qFormat/>
    <w:uiPriority w:val="9"/>
    <w:pPr>
      <w:spacing w:before="240" w:after="80"/>
      <w:jc w:val="left"/>
      <w:outlineLvl w:val="1"/>
    </w:pPr>
    <w:rPr>
      <w:smallCaps/>
      <w:spacing w:val="5"/>
      <w:sz w:val="28"/>
      <w:szCs w:val="28"/>
    </w:rPr>
  </w:style>
  <w:style w:type="paragraph" w:styleId="4">
    <w:name w:val="heading 3"/>
    <w:basedOn w:val="1"/>
    <w:next w:val="1"/>
    <w:link w:val="32"/>
    <w:qFormat/>
    <w:uiPriority w:val="9"/>
    <w:pPr>
      <w:spacing w:after="0"/>
      <w:jc w:val="left"/>
      <w:outlineLvl w:val="2"/>
    </w:pPr>
    <w:rPr>
      <w:smallCaps/>
      <w:spacing w:val="5"/>
      <w:sz w:val="24"/>
      <w:szCs w:val="24"/>
    </w:rPr>
  </w:style>
  <w:style w:type="paragraph" w:styleId="5">
    <w:name w:val="heading 4"/>
    <w:basedOn w:val="1"/>
    <w:next w:val="1"/>
    <w:link w:val="33"/>
    <w:qFormat/>
    <w:uiPriority w:val="9"/>
    <w:pPr>
      <w:spacing w:before="240" w:after="0"/>
      <w:jc w:val="left"/>
      <w:outlineLvl w:val="3"/>
    </w:pPr>
    <w:rPr>
      <w:smallCaps/>
      <w:spacing w:val="10"/>
      <w:sz w:val="22"/>
      <w:szCs w:val="22"/>
    </w:rPr>
  </w:style>
  <w:style w:type="paragraph" w:styleId="6">
    <w:name w:val="heading 5"/>
    <w:basedOn w:val="1"/>
    <w:next w:val="1"/>
    <w:link w:val="34"/>
    <w:qFormat/>
    <w:uiPriority w:val="9"/>
    <w:pPr>
      <w:spacing w:before="200" w:after="0"/>
      <w:jc w:val="left"/>
      <w:outlineLvl w:val="4"/>
    </w:pPr>
    <w:rPr>
      <w:smallCaps/>
      <w:color w:val="4381CF"/>
      <w:spacing w:val="10"/>
      <w:sz w:val="22"/>
      <w:szCs w:val="26"/>
    </w:rPr>
  </w:style>
  <w:style w:type="paragraph" w:styleId="7">
    <w:name w:val="heading 6"/>
    <w:basedOn w:val="1"/>
    <w:next w:val="1"/>
    <w:link w:val="35"/>
    <w:qFormat/>
    <w:uiPriority w:val="9"/>
    <w:pPr>
      <w:spacing w:after="0"/>
      <w:jc w:val="left"/>
      <w:outlineLvl w:val="5"/>
    </w:pPr>
    <w:rPr>
      <w:smallCaps/>
      <w:color w:val="8DB3E2"/>
      <w:spacing w:val="5"/>
      <w:sz w:val="22"/>
    </w:rPr>
  </w:style>
  <w:style w:type="paragraph" w:styleId="8">
    <w:name w:val="heading 7"/>
    <w:basedOn w:val="1"/>
    <w:next w:val="1"/>
    <w:link w:val="36"/>
    <w:qFormat/>
    <w:uiPriority w:val="9"/>
    <w:pPr>
      <w:spacing w:after="0"/>
      <w:jc w:val="left"/>
      <w:outlineLvl w:val="6"/>
    </w:pPr>
    <w:rPr>
      <w:b/>
      <w:smallCaps/>
      <w:color w:val="8DB3E2"/>
      <w:spacing w:val="10"/>
    </w:rPr>
  </w:style>
  <w:style w:type="paragraph" w:styleId="9">
    <w:name w:val="heading 8"/>
    <w:basedOn w:val="1"/>
    <w:next w:val="1"/>
    <w:link w:val="37"/>
    <w:qFormat/>
    <w:uiPriority w:val="9"/>
    <w:pPr>
      <w:spacing w:after="0"/>
      <w:jc w:val="left"/>
      <w:outlineLvl w:val="7"/>
    </w:pPr>
    <w:rPr>
      <w:b/>
      <w:i/>
      <w:smallCaps/>
      <w:color w:val="4381CF"/>
    </w:rPr>
  </w:style>
  <w:style w:type="paragraph" w:styleId="10">
    <w:name w:val="heading 9"/>
    <w:basedOn w:val="1"/>
    <w:next w:val="1"/>
    <w:link w:val="38"/>
    <w:qFormat/>
    <w:uiPriority w:val="9"/>
    <w:pPr>
      <w:spacing w:after="0"/>
      <w:jc w:val="left"/>
      <w:outlineLvl w:val="8"/>
    </w:pPr>
    <w:rPr>
      <w:b/>
      <w:i/>
      <w:smallCaps/>
      <w:color w:val="25569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4"/>
    <w:qFormat/>
    <w:uiPriority w:val="99"/>
    <w:rPr>
      <w:sz w:val="18"/>
      <w:szCs w:val="18"/>
    </w:rPr>
  </w:style>
  <w:style w:type="paragraph" w:styleId="13">
    <w:name w:val="footer"/>
    <w:basedOn w:val="1"/>
    <w:link w:val="26"/>
    <w:qFormat/>
    <w:uiPriority w:val="99"/>
    <w:pPr>
      <w:tabs>
        <w:tab w:val="center" w:pos="4153"/>
        <w:tab w:val="right" w:pos="8306"/>
      </w:tabs>
      <w:snapToGrid w:val="0"/>
    </w:pPr>
    <w:rPr>
      <w:sz w:val="18"/>
      <w:szCs w:val="18"/>
    </w:rPr>
  </w:style>
  <w:style w:type="paragraph" w:styleId="14">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9"/>
    <w:qFormat/>
    <w:uiPriority w:val="11"/>
    <w:pPr>
      <w:spacing w:after="720" w:line="240" w:lineRule="auto"/>
      <w:jc w:val="right"/>
    </w:pPr>
    <w:rPr>
      <w:rFonts w:ascii="Cambria" w:hAnsi="Cambria"/>
      <w:szCs w:val="22"/>
    </w:rPr>
  </w:style>
  <w:style w:type="paragraph" w:styleId="16">
    <w:name w:val="Normal (Web)"/>
    <w:basedOn w:val="1"/>
    <w:semiHidden/>
    <w:unhideWhenUsed/>
    <w:qFormat/>
    <w:uiPriority w:val="99"/>
    <w:rPr>
      <w:rFonts w:ascii="Times New Roman" w:hAnsi="Times New Roman" w:cs="Times New Roman"/>
      <w:sz w:val="24"/>
      <w:szCs w:val="24"/>
    </w:rPr>
  </w:style>
  <w:style w:type="paragraph" w:styleId="17">
    <w:name w:val="Title"/>
    <w:basedOn w:val="1"/>
    <w:next w:val="1"/>
    <w:link w:val="29"/>
    <w:qFormat/>
    <w:uiPriority w:val="10"/>
    <w:pPr>
      <w:pBdr>
        <w:top w:val="single" w:color="8DB3E2" w:sz="12" w:space="1"/>
      </w:pBdr>
      <w:spacing w:line="240" w:lineRule="auto"/>
      <w:jc w:val="right"/>
    </w:pPr>
    <w:rPr>
      <w:smallCaps/>
      <w:sz w:val="48"/>
      <w:szCs w:val="48"/>
    </w:rPr>
  </w:style>
  <w:style w:type="character" w:styleId="20">
    <w:name w:val="Strong"/>
    <w:qFormat/>
    <w:uiPriority w:val="22"/>
    <w:rPr>
      <w:b/>
      <w:color w:val="8DB3E2"/>
    </w:rPr>
  </w:style>
  <w:style w:type="character" w:styleId="21">
    <w:name w:val="Emphasis"/>
    <w:qFormat/>
    <w:uiPriority w:val="20"/>
    <w:rPr>
      <w:b/>
      <w:i/>
      <w:spacing w:val="10"/>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List Paragraph_7fceb2ab-8ccb-4f27-a48c-4e287d89ff2a"/>
    <w:basedOn w:val="1"/>
    <w:qFormat/>
    <w:uiPriority w:val="34"/>
    <w:pPr>
      <w:ind w:left="720"/>
      <w:contextualSpacing/>
    </w:pPr>
  </w:style>
  <w:style w:type="character" w:customStyle="1" w:styleId="24">
    <w:name w:val="批注框文本 字符"/>
    <w:basedOn w:val="19"/>
    <w:link w:val="12"/>
    <w:qFormat/>
    <w:uiPriority w:val="99"/>
    <w:rPr>
      <w:sz w:val="18"/>
      <w:szCs w:val="18"/>
    </w:rPr>
  </w:style>
  <w:style w:type="character" w:customStyle="1" w:styleId="25">
    <w:name w:val="页眉 字符"/>
    <w:basedOn w:val="19"/>
    <w:link w:val="14"/>
    <w:qFormat/>
    <w:uiPriority w:val="99"/>
    <w:rPr>
      <w:sz w:val="18"/>
      <w:szCs w:val="18"/>
    </w:rPr>
  </w:style>
  <w:style w:type="character" w:customStyle="1" w:styleId="26">
    <w:name w:val="页脚 字符"/>
    <w:basedOn w:val="19"/>
    <w:link w:val="13"/>
    <w:qFormat/>
    <w:uiPriority w:val="99"/>
    <w:rPr>
      <w:sz w:val="18"/>
      <w:szCs w:val="18"/>
    </w:rPr>
  </w:style>
  <w:style w:type="paragraph" w:customStyle="1" w:styleId="27">
    <w:name w:val="Quote_7250c94f-e1a7-4534-8d2d-98099f9dfe4b"/>
    <w:basedOn w:val="1"/>
    <w:next w:val="1"/>
    <w:link w:val="28"/>
    <w:qFormat/>
    <w:uiPriority w:val="29"/>
    <w:rPr>
      <w:i/>
    </w:rPr>
  </w:style>
  <w:style w:type="character" w:customStyle="1" w:styleId="28">
    <w:name w:val="引用 字符"/>
    <w:basedOn w:val="19"/>
    <w:link w:val="27"/>
    <w:qFormat/>
    <w:uiPriority w:val="29"/>
    <w:rPr>
      <w:i/>
    </w:rPr>
  </w:style>
  <w:style w:type="character" w:customStyle="1" w:styleId="29">
    <w:name w:val="标题 字符"/>
    <w:basedOn w:val="19"/>
    <w:link w:val="17"/>
    <w:qFormat/>
    <w:uiPriority w:val="10"/>
    <w:rPr>
      <w:smallCaps/>
      <w:sz w:val="48"/>
      <w:szCs w:val="48"/>
    </w:rPr>
  </w:style>
  <w:style w:type="character" w:customStyle="1" w:styleId="30">
    <w:name w:val="标题 1 字符"/>
    <w:basedOn w:val="19"/>
    <w:link w:val="2"/>
    <w:qFormat/>
    <w:uiPriority w:val="9"/>
    <w:rPr>
      <w:smallCaps/>
      <w:spacing w:val="5"/>
      <w:sz w:val="32"/>
      <w:szCs w:val="32"/>
    </w:rPr>
  </w:style>
  <w:style w:type="character" w:customStyle="1" w:styleId="31">
    <w:name w:val="标题 2 字符"/>
    <w:basedOn w:val="19"/>
    <w:link w:val="3"/>
    <w:qFormat/>
    <w:uiPriority w:val="9"/>
    <w:rPr>
      <w:smallCaps/>
      <w:spacing w:val="5"/>
      <w:sz w:val="28"/>
      <w:szCs w:val="28"/>
    </w:rPr>
  </w:style>
  <w:style w:type="character" w:customStyle="1" w:styleId="32">
    <w:name w:val="标题 3 字符"/>
    <w:basedOn w:val="19"/>
    <w:link w:val="4"/>
    <w:qFormat/>
    <w:uiPriority w:val="9"/>
    <w:rPr>
      <w:smallCaps/>
      <w:spacing w:val="5"/>
      <w:sz w:val="24"/>
      <w:szCs w:val="24"/>
    </w:rPr>
  </w:style>
  <w:style w:type="character" w:customStyle="1" w:styleId="33">
    <w:name w:val="标题 4 字符"/>
    <w:basedOn w:val="19"/>
    <w:link w:val="5"/>
    <w:qFormat/>
    <w:uiPriority w:val="9"/>
    <w:rPr>
      <w:smallCaps/>
      <w:spacing w:val="10"/>
      <w:sz w:val="22"/>
      <w:szCs w:val="22"/>
    </w:rPr>
  </w:style>
  <w:style w:type="character" w:customStyle="1" w:styleId="34">
    <w:name w:val="标题 5 字符"/>
    <w:basedOn w:val="19"/>
    <w:link w:val="6"/>
    <w:qFormat/>
    <w:uiPriority w:val="9"/>
    <w:rPr>
      <w:smallCaps/>
      <w:color w:val="4381CF"/>
      <w:spacing w:val="10"/>
      <w:sz w:val="22"/>
      <w:szCs w:val="26"/>
    </w:rPr>
  </w:style>
  <w:style w:type="character" w:customStyle="1" w:styleId="35">
    <w:name w:val="标题 6 字符"/>
    <w:basedOn w:val="19"/>
    <w:link w:val="7"/>
    <w:qFormat/>
    <w:uiPriority w:val="9"/>
    <w:rPr>
      <w:smallCaps/>
      <w:color w:val="8DB3E2"/>
      <w:spacing w:val="5"/>
      <w:sz w:val="22"/>
    </w:rPr>
  </w:style>
  <w:style w:type="character" w:customStyle="1" w:styleId="36">
    <w:name w:val="标题 7 字符"/>
    <w:basedOn w:val="19"/>
    <w:link w:val="8"/>
    <w:qFormat/>
    <w:uiPriority w:val="9"/>
    <w:rPr>
      <w:b/>
      <w:smallCaps/>
      <w:color w:val="8DB3E2"/>
      <w:spacing w:val="10"/>
    </w:rPr>
  </w:style>
  <w:style w:type="character" w:customStyle="1" w:styleId="37">
    <w:name w:val="标题 8 字符"/>
    <w:basedOn w:val="19"/>
    <w:link w:val="9"/>
    <w:qFormat/>
    <w:uiPriority w:val="9"/>
    <w:rPr>
      <w:b/>
      <w:i/>
      <w:smallCaps/>
      <w:color w:val="4381CF"/>
    </w:rPr>
  </w:style>
  <w:style w:type="character" w:customStyle="1" w:styleId="38">
    <w:name w:val="标题 9 字符"/>
    <w:basedOn w:val="19"/>
    <w:link w:val="10"/>
    <w:qFormat/>
    <w:uiPriority w:val="9"/>
    <w:rPr>
      <w:b/>
      <w:i/>
      <w:smallCaps/>
      <w:color w:val="255692"/>
    </w:rPr>
  </w:style>
  <w:style w:type="character" w:customStyle="1" w:styleId="39">
    <w:name w:val="副标题 字符"/>
    <w:basedOn w:val="19"/>
    <w:link w:val="15"/>
    <w:qFormat/>
    <w:uiPriority w:val="11"/>
    <w:rPr>
      <w:rFonts w:ascii="Cambria" w:hAnsi="Cambria" w:eastAsia="宋体" w:cs="宋体"/>
      <w:szCs w:val="22"/>
    </w:rPr>
  </w:style>
  <w:style w:type="paragraph" w:customStyle="1" w:styleId="40">
    <w:name w:val="No Spacing_9ebc90f8-be43-45da-8b63-1a01d3daad88"/>
    <w:basedOn w:val="1"/>
    <w:link w:val="50"/>
    <w:qFormat/>
    <w:uiPriority w:val="1"/>
    <w:pPr>
      <w:spacing w:after="0" w:line="240" w:lineRule="auto"/>
    </w:pPr>
  </w:style>
  <w:style w:type="paragraph" w:customStyle="1" w:styleId="41">
    <w:name w:val="Intense Quote_d56a5c2c-37da-4717-88ea-e72545b656a3"/>
    <w:basedOn w:val="1"/>
    <w:next w:val="1"/>
    <w:link w:val="42"/>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2">
    <w:name w:val="明显引用 字符"/>
    <w:basedOn w:val="19"/>
    <w:link w:val="41"/>
    <w:qFormat/>
    <w:uiPriority w:val="30"/>
    <w:rPr>
      <w:b/>
      <w:i/>
      <w:color w:val="112845"/>
      <w:shd w:val="clear" w:color="auto" w:fill="8DB3E2"/>
    </w:rPr>
  </w:style>
  <w:style w:type="character" w:customStyle="1" w:styleId="43">
    <w:name w:val="不明显强调1"/>
    <w:qFormat/>
    <w:uiPriority w:val="19"/>
    <w:rPr>
      <w:rFonts w:ascii="Cambria" w:hAnsi="Cambria" w:eastAsia="宋体" w:cs="宋体"/>
      <w:i/>
      <w:iCs/>
      <w:color w:val="8DB3E2"/>
    </w:rPr>
  </w:style>
  <w:style w:type="character" w:customStyle="1" w:styleId="44">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5">
    <w:name w:val="不明显参考1"/>
    <w:qFormat/>
    <w:uiPriority w:val="31"/>
    <w:rPr>
      <w:i/>
      <w:iCs/>
      <w:smallCaps/>
      <w:color w:val="8DB3E2"/>
      <w:u w:color="8DB3E2"/>
    </w:rPr>
  </w:style>
  <w:style w:type="character" w:customStyle="1" w:styleId="46">
    <w:name w:val="明显参考1"/>
    <w:qFormat/>
    <w:uiPriority w:val="32"/>
    <w:rPr>
      <w:b/>
      <w:bCs/>
      <w:i/>
      <w:iCs/>
      <w:smallCaps/>
      <w:color w:val="8DB3E2"/>
      <w:u w:color="8DB3E2"/>
    </w:rPr>
  </w:style>
  <w:style w:type="character" w:customStyle="1" w:styleId="47">
    <w:name w:val="书籍标题1"/>
    <w:qFormat/>
    <w:uiPriority w:val="33"/>
    <w:rPr>
      <w:rFonts w:ascii="Cambria" w:hAnsi="Cambria" w:eastAsia="宋体" w:cs="宋体"/>
      <w:b/>
      <w:bCs/>
      <w:i/>
      <w:iCs/>
      <w:smallCaps/>
      <w:color w:val="4381CF"/>
      <w:u w:val="single"/>
    </w:rPr>
  </w:style>
  <w:style w:type="paragraph" w:customStyle="1" w:styleId="48">
    <w:name w:val="TOC 标题1"/>
    <w:basedOn w:val="2"/>
    <w:next w:val="1"/>
    <w:qFormat/>
    <w:uiPriority w:val="39"/>
    <w:pPr>
      <w:outlineLvl w:val="9"/>
    </w:pPr>
    <w:rPr>
      <w:lang w:bidi="en-US"/>
    </w:rPr>
  </w:style>
  <w:style w:type="paragraph" w:customStyle="1" w:styleId="49">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50">
    <w:name w:val="无间隔 字符"/>
    <w:basedOn w:val="19"/>
    <w:link w:val="40"/>
    <w:qFormat/>
    <w:uiPriority w:val="1"/>
  </w:style>
  <w:style w:type="character" w:customStyle="1" w:styleId="51">
    <w:name w:val="不明显强调2"/>
    <w:qFormat/>
    <w:uiPriority w:val="19"/>
    <w:rPr>
      <w:i/>
    </w:rPr>
  </w:style>
  <w:style w:type="character" w:customStyle="1" w:styleId="52">
    <w:name w:val="明显强调2"/>
    <w:qFormat/>
    <w:uiPriority w:val="21"/>
    <w:rPr>
      <w:b/>
      <w:i/>
      <w:color w:val="8DB3E2"/>
      <w:spacing w:val="10"/>
    </w:rPr>
  </w:style>
  <w:style w:type="character" w:customStyle="1" w:styleId="53">
    <w:name w:val="不明显参考2"/>
    <w:qFormat/>
    <w:uiPriority w:val="31"/>
    <w:rPr>
      <w:b/>
    </w:rPr>
  </w:style>
  <w:style w:type="character" w:customStyle="1" w:styleId="54">
    <w:name w:val="明显参考2"/>
    <w:qFormat/>
    <w:uiPriority w:val="32"/>
    <w:rPr>
      <w:b/>
      <w:bCs/>
      <w:smallCaps/>
      <w:spacing w:val="5"/>
      <w:sz w:val="22"/>
      <w:szCs w:val="22"/>
      <w:u w:val="single"/>
    </w:rPr>
  </w:style>
  <w:style w:type="character" w:customStyle="1" w:styleId="55">
    <w:name w:val="书籍标题2"/>
    <w:qFormat/>
    <w:uiPriority w:val="33"/>
    <w:rPr>
      <w:rFonts w:ascii="Cambria" w:hAnsi="Cambria" w:eastAsia="宋体" w:cs="宋体"/>
      <w:i/>
      <w:iCs/>
      <w:sz w:val="20"/>
      <w:szCs w:val="20"/>
    </w:rPr>
  </w:style>
  <w:style w:type="paragraph" w:customStyle="1" w:styleId="56">
    <w:name w:val="TOC 标题2"/>
    <w:basedOn w:val="2"/>
    <w:next w:val="1"/>
    <w:qFormat/>
    <w:uiPriority w:val="39"/>
    <w:pPr>
      <w:outlineLvl w:val="9"/>
    </w:pPr>
    <w:rPr>
      <w:lang w:bidi="en-US"/>
    </w:rPr>
  </w:style>
  <w:style w:type="paragraph" w:styleId="57">
    <w:name w:val="List Paragraph"/>
    <w:basedOn w:val="1"/>
    <w:qFormat/>
    <w:uiPriority w:val="34"/>
    <w:pPr>
      <w:ind w:firstLine="420" w:firstLineChars="200"/>
    </w:pPr>
  </w:style>
  <w:style w:type="character" w:customStyle="1" w:styleId="58">
    <w:name w:val="Unresolved Mention"/>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5ECCC-9051-4621-ADE0-97537378CA0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9935</Words>
  <Characters>11466</Characters>
  <Lines>69</Lines>
  <Paragraphs>19</Paragraphs>
  <TotalTime>3</TotalTime>
  <ScaleCrop>false</ScaleCrop>
  <LinksUpToDate>false</LinksUpToDate>
  <CharactersWithSpaces>11523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2022-10-13T00:17:00Z</dcterms:created>
  <dc:creator>Administrator</dc:creator>
  <cp:lastModifiedBy>孔顺利</cp:lastModifiedBy>
  <cp:lastPrinted>2022-11-21T00:19:00Z</cp:lastPrinted>
  <dcterms:modified xsi:type="dcterms:W3CDTF">2022-12-06T00:15:38Z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F4B79ECF715341E6875ED2EE7AB47F8D</vt:lpwstr>
  </property>
</Properties>
</file>